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仿宋_GB2312"/>
          <w:spacing w:val="-18"/>
          <w:sz w:val="32"/>
          <w:szCs w:val="32"/>
        </w:rPr>
      </w:pPr>
      <w:r>
        <w:rPr>
          <w:rFonts w:hint="eastAsia" w:ascii="黑体" w:hAnsi="黑体" w:eastAsia="黑体" w:cs="仿宋_GB2312"/>
          <w:spacing w:val="-18"/>
          <w:sz w:val="32"/>
          <w:szCs w:val="32"/>
        </w:rPr>
        <w:t>附件</w:t>
      </w:r>
      <w:r>
        <w:rPr>
          <w:rFonts w:ascii="黑体" w:hAnsi="黑体" w:eastAsia="黑体" w:cs="仿宋_GB2312"/>
          <w:spacing w:val="-18"/>
          <w:sz w:val="32"/>
          <w:szCs w:val="32"/>
        </w:rPr>
        <w:t>：</w:t>
      </w:r>
    </w:p>
    <w:tbl>
      <w:tblPr>
        <w:tblStyle w:val="6"/>
        <w:tblW w:w="144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624"/>
        <w:gridCol w:w="1861"/>
        <w:gridCol w:w="1149"/>
        <w:gridCol w:w="4476"/>
        <w:gridCol w:w="239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40" w:hRule="atLeast"/>
          <w:tblHeader/>
        </w:trPr>
        <w:tc>
          <w:tcPr>
            <w:tcW w:w="14480" w:type="dxa"/>
            <w:gridSpan w:val="7"/>
            <w:tcBorders>
              <w:top w:val="nil"/>
              <w:left w:val="nil"/>
              <w:bottom w:val="single" w:color="auto" w:sz="4" w:space="0"/>
              <w:right w:val="nil"/>
            </w:tcBorders>
            <w:shd w:val="clear" w:color="auto" w:fill="auto"/>
            <w:vAlign w:val="center"/>
          </w:tcPr>
          <w:p>
            <w:pPr>
              <w:widowControl/>
              <w:jc w:val="center"/>
              <w:rPr>
                <w:rFonts w:ascii="宋体" w:hAnsi="宋体" w:cs="宋体"/>
                <w:b/>
                <w:bCs/>
                <w:color w:val="000000"/>
                <w:kern w:val="0"/>
                <w:sz w:val="40"/>
                <w:szCs w:val="40"/>
              </w:rPr>
            </w:pPr>
            <w:bookmarkStart w:id="0" w:name="RANGE!A1"/>
            <w:r>
              <w:rPr>
                <w:rFonts w:hint="eastAsia" w:ascii="宋体" w:hAnsi="宋体" w:cs="宋体"/>
                <w:b/>
                <w:bCs/>
                <w:color w:val="000000"/>
                <w:kern w:val="0"/>
                <w:sz w:val="40"/>
                <w:szCs w:val="40"/>
              </w:rPr>
              <w:t>邯郸市物业服务企业信用等级评价记分标准（试行）</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blHeader/>
        </w:trPr>
        <w:tc>
          <w:tcPr>
            <w:tcW w:w="1425" w:type="dxa"/>
            <w:vMerge w:val="restart"/>
            <w:tcBorders>
              <w:top w:val="single" w:color="auto" w:sz="4" w:space="0"/>
            </w:tcBorders>
            <w:shd w:val="clear" w:color="auto" w:fill="auto"/>
            <w:vAlign w:val="center"/>
          </w:tcPr>
          <w:p>
            <w:pPr>
              <w:widowControl/>
              <w:jc w:val="center"/>
              <w:rPr>
                <w:rFonts w:hint="eastAsia"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记分类型</w:t>
            </w:r>
          </w:p>
        </w:tc>
        <w:tc>
          <w:tcPr>
            <w:tcW w:w="9110" w:type="dxa"/>
            <w:gridSpan w:val="4"/>
            <w:vMerge w:val="restart"/>
            <w:tcBorders>
              <w:top w:val="single" w:color="auto" w:sz="4" w:space="0"/>
            </w:tcBorders>
            <w:shd w:val="clear" w:color="auto" w:fill="auto"/>
            <w:vAlign w:val="center"/>
          </w:tcPr>
          <w:p>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信  用  信  息</w:t>
            </w:r>
          </w:p>
        </w:tc>
        <w:tc>
          <w:tcPr>
            <w:tcW w:w="2399" w:type="dxa"/>
            <w:vMerge w:val="restart"/>
            <w:tcBorders>
              <w:top w:val="single" w:color="auto" w:sz="4" w:space="0"/>
            </w:tcBorders>
            <w:shd w:val="clear" w:color="auto" w:fill="auto"/>
            <w:vAlign w:val="center"/>
          </w:tcPr>
          <w:p>
            <w:pPr>
              <w:widowControl/>
              <w:jc w:val="center"/>
              <w:rPr>
                <w:rFonts w:hint="eastAsia"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计分标准（分）</w:t>
            </w:r>
          </w:p>
        </w:tc>
        <w:tc>
          <w:tcPr>
            <w:tcW w:w="1546" w:type="dxa"/>
            <w:vMerge w:val="restart"/>
            <w:tcBorders>
              <w:top w:val="single" w:color="auto" w:sz="4" w:space="0"/>
            </w:tcBorders>
            <w:shd w:val="clear" w:color="auto" w:fill="auto"/>
            <w:vAlign w:val="center"/>
          </w:tcPr>
          <w:p>
            <w:pPr>
              <w:widowControl/>
              <w:jc w:val="center"/>
              <w:rPr>
                <w:rFonts w:hint="eastAsia"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blHeader/>
        </w:trPr>
        <w:tc>
          <w:tcPr>
            <w:tcW w:w="1425" w:type="dxa"/>
            <w:vMerge w:val="continue"/>
            <w:vAlign w:val="center"/>
          </w:tcPr>
          <w:p>
            <w:pPr>
              <w:widowControl/>
              <w:jc w:val="left"/>
              <w:rPr>
                <w:rFonts w:ascii="华文中宋" w:hAnsi="华文中宋" w:eastAsia="华文中宋" w:cs="宋体"/>
                <w:color w:val="000000"/>
                <w:kern w:val="0"/>
                <w:sz w:val="28"/>
                <w:szCs w:val="28"/>
              </w:rPr>
            </w:pPr>
          </w:p>
        </w:tc>
        <w:tc>
          <w:tcPr>
            <w:tcW w:w="9110" w:type="dxa"/>
            <w:gridSpan w:val="4"/>
            <w:vMerge w:val="continue"/>
            <w:vAlign w:val="center"/>
          </w:tcPr>
          <w:p>
            <w:pPr>
              <w:widowControl/>
              <w:jc w:val="left"/>
              <w:rPr>
                <w:rFonts w:ascii="华文中宋" w:hAnsi="华文中宋" w:eastAsia="华文中宋" w:cs="宋体"/>
                <w:color w:val="000000"/>
                <w:kern w:val="0"/>
                <w:sz w:val="32"/>
                <w:szCs w:val="32"/>
              </w:rPr>
            </w:pPr>
          </w:p>
        </w:tc>
        <w:tc>
          <w:tcPr>
            <w:tcW w:w="2399" w:type="dxa"/>
            <w:vMerge w:val="continue"/>
            <w:vAlign w:val="center"/>
          </w:tcPr>
          <w:p>
            <w:pPr>
              <w:widowControl/>
              <w:jc w:val="left"/>
              <w:rPr>
                <w:rFonts w:ascii="华文中宋" w:hAnsi="华文中宋" w:eastAsia="华文中宋" w:cs="宋体"/>
                <w:color w:val="000000"/>
                <w:kern w:val="0"/>
                <w:sz w:val="28"/>
                <w:szCs w:val="28"/>
              </w:rPr>
            </w:pPr>
          </w:p>
        </w:tc>
        <w:tc>
          <w:tcPr>
            <w:tcW w:w="1546" w:type="dxa"/>
            <w:vMerge w:val="continue"/>
            <w:vAlign w:val="center"/>
          </w:tcPr>
          <w:p>
            <w:pPr>
              <w:widowControl/>
              <w:jc w:val="left"/>
              <w:rPr>
                <w:rFonts w:ascii="华文中宋" w:hAnsi="华文中宋" w:eastAsia="华文中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blHeader/>
        </w:trPr>
        <w:tc>
          <w:tcPr>
            <w:tcW w:w="1425" w:type="dxa"/>
            <w:vMerge w:val="continue"/>
            <w:shd w:val="clear" w:color="auto" w:fill="auto"/>
            <w:vAlign w:val="center"/>
          </w:tcPr>
          <w:p>
            <w:pPr>
              <w:widowControl/>
              <w:jc w:val="left"/>
              <w:rPr>
                <w:rFonts w:ascii="华文中宋" w:hAnsi="华文中宋" w:eastAsia="华文中宋" w:cs="宋体"/>
                <w:color w:val="000000"/>
                <w:kern w:val="0"/>
                <w:sz w:val="28"/>
                <w:szCs w:val="28"/>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 xml:space="preserve"> 记分编码</w:t>
            </w:r>
          </w:p>
        </w:tc>
        <w:tc>
          <w:tcPr>
            <w:tcW w:w="1861" w:type="dxa"/>
            <w:shd w:val="clear" w:color="auto" w:fill="auto"/>
            <w:vAlign w:val="center"/>
          </w:tcPr>
          <w:p>
            <w:pPr>
              <w:widowControl/>
              <w:jc w:val="center"/>
              <w:rPr>
                <w:rFonts w:hint="eastAsia"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记分项目</w:t>
            </w:r>
          </w:p>
        </w:tc>
        <w:tc>
          <w:tcPr>
            <w:tcW w:w="5625" w:type="dxa"/>
            <w:gridSpan w:val="2"/>
            <w:shd w:val="clear" w:color="auto" w:fill="auto"/>
            <w:vAlign w:val="center"/>
          </w:tcPr>
          <w:p>
            <w:pPr>
              <w:widowControl/>
              <w:jc w:val="center"/>
              <w:rPr>
                <w:rFonts w:hint="eastAsia"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记分内容</w:t>
            </w:r>
          </w:p>
        </w:tc>
        <w:tc>
          <w:tcPr>
            <w:tcW w:w="2399" w:type="dxa"/>
            <w:vMerge w:val="continue"/>
            <w:vAlign w:val="center"/>
          </w:tcPr>
          <w:p>
            <w:pPr>
              <w:widowControl/>
              <w:jc w:val="left"/>
              <w:rPr>
                <w:rFonts w:ascii="华文中宋" w:hAnsi="华文中宋" w:eastAsia="华文中宋" w:cs="宋体"/>
                <w:color w:val="000000"/>
                <w:kern w:val="0"/>
                <w:sz w:val="28"/>
                <w:szCs w:val="28"/>
              </w:rPr>
            </w:pPr>
          </w:p>
        </w:tc>
        <w:tc>
          <w:tcPr>
            <w:tcW w:w="1546" w:type="dxa"/>
            <w:vMerge w:val="continue"/>
            <w:vAlign w:val="center"/>
          </w:tcPr>
          <w:p>
            <w:pPr>
              <w:widowControl/>
              <w:jc w:val="left"/>
              <w:rPr>
                <w:rFonts w:ascii="华文中宋" w:hAnsi="华文中宋" w:eastAsia="华文中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1425" w:type="dxa"/>
            <w:vMerge w:val="restart"/>
            <w:shd w:val="clear" w:color="auto" w:fill="auto"/>
            <w:vAlign w:val="center"/>
          </w:tcPr>
          <w:p>
            <w:pPr>
              <w:widowControl/>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基本</w:t>
            </w:r>
            <w:r>
              <w:rPr>
                <w:rFonts w:hint="eastAsia" w:ascii="黑体" w:hAnsi="黑体" w:eastAsia="黑体" w:cs="宋体"/>
                <w:color w:val="000000"/>
                <w:kern w:val="0"/>
                <w:sz w:val="22"/>
                <w:szCs w:val="22"/>
              </w:rPr>
              <w:br w:type="textWrapping"/>
            </w:r>
            <w:r>
              <w:rPr>
                <w:rFonts w:hint="eastAsia" w:ascii="黑体" w:hAnsi="黑体" w:eastAsia="黑体" w:cs="宋体"/>
                <w:color w:val="000000"/>
                <w:kern w:val="0"/>
                <w:sz w:val="22"/>
                <w:szCs w:val="22"/>
              </w:rPr>
              <w:t>信用</w:t>
            </w:r>
            <w:r>
              <w:rPr>
                <w:rFonts w:hint="eastAsia" w:ascii="黑体" w:hAnsi="黑体" w:eastAsia="黑体" w:cs="宋体"/>
                <w:color w:val="000000"/>
                <w:kern w:val="0"/>
                <w:sz w:val="22"/>
                <w:szCs w:val="22"/>
              </w:rPr>
              <w:br w:type="textWrapping"/>
            </w:r>
            <w:r>
              <w:rPr>
                <w:rFonts w:hint="eastAsia" w:ascii="黑体" w:hAnsi="黑体" w:eastAsia="黑体" w:cs="宋体"/>
                <w:color w:val="000000"/>
                <w:kern w:val="0"/>
                <w:sz w:val="22"/>
                <w:szCs w:val="22"/>
              </w:rPr>
              <w:t>信息</w:t>
            </w: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HDWYXY001</w:t>
            </w:r>
          </w:p>
        </w:tc>
        <w:tc>
          <w:tcPr>
            <w:tcW w:w="1861"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基准分值</w:t>
            </w: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取得物业服务企业营业执照，及时完成信用信息采集上报</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1546" w:type="dxa"/>
            <w:shd w:val="clear" w:color="auto" w:fill="auto"/>
            <w:vAlign w:val="top"/>
          </w:tcPr>
          <w:p>
            <w:pPr>
              <w:widowControl/>
              <w:rPr>
                <w:rFonts w:hint="eastAsia" w:ascii="黑体" w:hAnsi="黑体" w:eastAsia="黑体" w:cs="宋体"/>
                <w:kern w:val="0"/>
                <w:sz w:val="32"/>
                <w:szCs w:val="32"/>
              </w:rPr>
            </w:pPr>
            <w:r>
              <w:rPr>
                <w:rFonts w:hint="eastAsia" w:ascii="黑体" w:hAnsi="黑体" w:eastAsia="黑体"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HDWYXY002</w:t>
            </w:r>
          </w:p>
        </w:tc>
        <w:tc>
          <w:tcPr>
            <w:tcW w:w="1861" w:type="dxa"/>
            <w:vMerge w:val="restart"/>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经历分</w:t>
            </w:r>
          </w:p>
        </w:tc>
        <w:tc>
          <w:tcPr>
            <w:tcW w:w="1149" w:type="dxa"/>
            <w:vMerge w:val="restart"/>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原资质等级</w:t>
            </w:r>
          </w:p>
        </w:tc>
        <w:tc>
          <w:tcPr>
            <w:tcW w:w="4476"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一级</w:t>
            </w:r>
          </w:p>
        </w:tc>
        <w:tc>
          <w:tcPr>
            <w:tcW w:w="2399"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46" w:type="dxa"/>
            <w:shd w:val="clear" w:color="auto" w:fill="auto"/>
            <w:vAlign w:val="top"/>
          </w:tcPr>
          <w:p>
            <w:pPr>
              <w:widowControl/>
              <w:rPr>
                <w:rFonts w:hint="eastAsia" w:ascii="黑体" w:hAnsi="黑体" w:eastAsia="黑体" w:cs="宋体"/>
                <w:kern w:val="0"/>
                <w:sz w:val="32"/>
                <w:szCs w:val="32"/>
              </w:rPr>
            </w:pPr>
            <w:r>
              <w:rPr>
                <w:rFonts w:hint="eastAsia" w:ascii="黑体" w:hAnsi="黑体" w:eastAsia="黑体"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HDWYXY003</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1149" w:type="dxa"/>
            <w:vMerge w:val="continue"/>
            <w:shd w:val="clear" w:color="auto" w:fill="auto"/>
            <w:vAlign w:val="center"/>
          </w:tcPr>
          <w:p>
            <w:pPr>
              <w:widowControl/>
              <w:jc w:val="left"/>
              <w:rPr>
                <w:rFonts w:ascii="宋体" w:hAnsi="宋体" w:cs="宋体"/>
                <w:color w:val="000000"/>
                <w:kern w:val="0"/>
                <w:szCs w:val="21"/>
              </w:rPr>
            </w:pPr>
          </w:p>
        </w:tc>
        <w:tc>
          <w:tcPr>
            <w:tcW w:w="4476"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二级</w:t>
            </w:r>
          </w:p>
        </w:tc>
        <w:tc>
          <w:tcPr>
            <w:tcW w:w="2399"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546" w:type="dxa"/>
            <w:shd w:val="clear" w:color="auto" w:fill="auto"/>
            <w:vAlign w:val="top"/>
          </w:tcPr>
          <w:p>
            <w:pPr>
              <w:widowControl/>
              <w:rPr>
                <w:rFonts w:hint="eastAsia" w:ascii="黑体" w:hAnsi="黑体" w:eastAsia="黑体" w:cs="宋体"/>
                <w:kern w:val="0"/>
                <w:sz w:val="32"/>
                <w:szCs w:val="32"/>
              </w:rPr>
            </w:pPr>
            <w:r>
              <w:rPr>
                <w:rFonts w:hint="eastAsia" w:ascii="黑体" w:hAnsi="黑体" w:eastAsia="黑体"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HDWYXY004</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1149" w:type="dxa"/>
            <w:vMerge w:val="continue"/>
            <w:shd w:val="clear" w:color="auto" w:fill="auto"/>
            <w:vAlign w:val="center"/>
          </w:tcPr>
          <w:p>
            <w:pPr>
              <w:widowControl/>
              <w:jc w:val="left"/>
              <w:rPr>
                <w:rFonts w:ascii="宋体" w:hAnsi="宋体" w:cs="宋体"/>
                <w:color w:val="000000"/>
                <w:kern w:val="0"/>
                <w:szCs w:val="21"/>
              </w:rPr>
            </w:pPr>
          </w:p>
        </w:tc>
        <w:tc>
          <w:tcPr>
            <w:tcW w:w="4476"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三级及以下</w:t>
            </w:r>
          </w:p>
        </w:tc>
        <w:tc>
          <w:tcPr>
            <w:tcW w:w="2399"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546" w:type="dxa"/>
            <w:shd w:val="clear" w:color="auto" w:fill="auto"/>
            <w:vAlign w:val="top"/>
          </w:tcPr>
          <w:p>
            <w:pPr>
              <w:widowControl/>
              <w:rPr>
                <w:rFonts w:hint="eastAsia" w:ascii="黑体" w:hAnsi="黑体" w:eastAsia="黑体" w:cs="宋体"/>
                <w:kern w:val="0"/>
                <w:sz w:val="32"/>
                <w:szCs w:val="32"/>
              </w:rPr>
            </w:pPr>
            <w:r>
              <w:rPr>
                <w:rFonts w:hint="eastAsia" w:ascii="黑体" w:hAnsi="黑体" w:eastAsia="黑体"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HDWYXY005</w:t>
            </w:r>
          </w:p>
        </w:tc>
        <w:tc>
          <w:tcPr>
            <w:tcW w:w="1861" w:type="dxa"/>
            <w:vMerge w:val="restart"/>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业绩分</w:t>
            </w: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物业服务企业通过质量管理体系（</w:t>
            </w:r>
            <w:r>
              <w:rPr>
                <w:color w:val="000000"/>
                <w:kern w:val="0"/>
                <w:szCs w:val="21"/>
              </w:rPr>
              <w:t>ISO</w:t>
            </w:r>
            <w:r>
              <w:rPr>
                <w:rFonts w:hint="eastAsia" w:ascii="宋体" w:hAnsi="宋体" w:cs="宋体"/>
                <w:color w:val="000000"/>
                <w:kern w:val="0"/>
                <w:szCs w:val="21"/>
              </w:rPr>
              <w:t>）等体系认证的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546" w:type="dxa"/>
            <w:shd w:val="clear" w:color="auto" w:fill="auto"/>
            <w:vAlign w:val="top"/>
          </w:tcPr>
          <w:p>
            <w:pPr>
              <w:widowControl/>
              <w:rPr>
                <w:rFonts w:hint="eastAsia" w:ascii="黑体" w:hAnsi="黑体" w:eastAsia="黑体" w:cs="宋体"/>
                <w:kern w:val="0"/>
                <w:sz w:val="32"/>
                <w:szCs w:val="32"/>
              </w:rPr>
            </w:pPr>
            <w:r>
              <w:rPr>
                <w:rFonts w:hint="eastAsia" w:ascii="黑体" w:hAnsi="黑体" w:eastAsia="黑体"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HDWYXY006</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物业管理面积</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1/</w:t>
            </w:r>
            <w:r>
              <w:rPr>
                <w:rFonts w:hint="eastAsia" w:ascii="宋体" w:hAnsi="宋体"/>
                <w:color w:val="000000"/>
                <w:kern w:val="0"/>
                <w:szCs w:val="21"/>
              </w:rPr>
              <w:t>3</w:t>
            </w:r>
            <w:r>
              <w:rPr>
                <w:color w:val="000000"/>
                <w:kern w:val="0"/>
                <w:szCs w:val="21"/>
              </w:rPr>
              <w:t>0</w:t>
            </w:r>
            <w:r>
              <w:rPr>
                <w:rFonts w:hint="eastAsia" w:ascii="宋体" w:hAnsi="宋体"/>
                <w:color w:val="000000"/>
                <w:kern w:val="0"/>
                <w:szCs w:val="21"/>
              </w:rPr>
              <w:t>万㎡</w:t>
            </w:r>
          </w:p>
        </w:tc>
        <w:tc>
          <w:tcPr>
            <w:tcW w:w="1546" w:type="dxa"/>
            <w:shd w:val="clear" w:color="auto" w:fill="auto"/>
            <w:vAlign w:val="top"/>
          </w:tcPr>
          <w:p>
            <w:pPr>
              <w:widowControl/>
              <w:rPr>
                <w:rFonts w:ascii="黑体" w:hAnsi="黑体" w:eastAsia="黑体" w:cs="宋体"/>
                <w:kern w:val="0"/>
                <w:sz w:val="32"/>
                <w:szCs w:val="32"/>
              </w:rPr>
            </w:pPr>
            <w:r>
              <w:rPr>
                <w:rFonts w:hint="eastAsia" w:ascii="黑体" w:hAnsi="黑体" w:eastAsia="黑体"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HDWYXY007</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接管老旧小区（</w:t>
            </w:r>
            <w:r>
              <w:rPr>
                <w:color w:val="000000"/>
                <w:kern w:val="0"/>
                <w:szCs w:val="21"/>
              </w:rPr>
              <w:t>2000</w:t>
            </w:r>
            <w:r>
              <w:rPr>
                <w:rFonts w:hint="eastAsia" w:ascii="宋体" w:hAnsi="宋体" w:cs="宋体"/>
                <w:color w:val="000000"/>
                <w:kern w:val="0"/>
                <w:szCs w:val="21"/>
              </w:rPr>
              <w:t>年</w:t>
            </w:r>
            <w:r>
              <w:rPr>
                <w:color w:val="000000"/>
                <w:kern w:val="0"/>
                <w:szCs w:val="21"/>
              </w:rPr>
              <w:t>1</w:t>
            </w:r>
            <w:r>
              <w:rPr>
                <w:rFonts w:hint="eastAsia" w:ascii="宋体" w:hAnsi="宋体" w:cs="宋体"/>
                <w:color w:val="000000"/>
                <w:kern w:val="0"/>
                <w:szCs w:val="21"/>
              </w:rPr>
              <w:t>月</w:t>
            </w:r>
            <w:r>
              <w:rPr>
                <w:color w:val="000000"/>
                <w:kern w:val="0"/>
                <w:szCs w:val="21"/>
              </w:rPr>
              <w:t>1</w:t>
            </w:r>
            <w:r>
              <w:rPr>
                <w:rFonts w:hint="eastAsia" w:ascii="宋体" w:hAnsi="宋体" w:cs="宋体"/>
                <w:color w:val="000000"/>
                <w:kern w:val="0"/>
                <w:szCs w:val="21"/>
              </w:rPr>
              <w:t>日前建成使用）</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1/</w:t>
            </w:r>
            <w:r>
              <w:rPr>
                <w:rFonts w:hint="eastAsia" w:ascii="宋体" w:hAnsi="宋体"/>
                <w:color w:val="000000"/>
                <w:kern w:val="0"/>
                <w:szCs w:val="21"/>
              </w:rPr>
              <w:t>5万㎡</w:t>
            </w:r>
          </w:p>
        </w:tc>
        <w:tc>
          <w:tcPr>
            <w:tcW w:w="1546" w:type="dxa"/>
            <w:shd w:val="clear" w:color="auto" w:fill="auto"/>
            <w:vAlign w:val="top"/>
          </w:tcPr>
          <w:p>
            <w:pPr>
              <w:widowControl/>
              <w:rPr>
                <w:rFonts w:ascii="黑体" w:hAnsi="黑体" w:eastAsia="黑体" w:cs="宋体"/>
                <w:kern w:val="0"/>
                <w:sz w:val="32"/>
                <w:szCs w:val="32"/>
              </w:rPr>
            </w:pPr>
            <w:r>
              <w:rPr>
                <w:rFonts w:hint="eastAsia" w:ascii="黑体" w:hAnsi="黑体" w:eastAsia="黑体"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HDWYXY008</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管理</w:t>
            </w:r>
            <w:r>
              <w:rPr>
                <w:color w:val="000000"/>
                <w:kern w:val="0"/>
                <w:szCs w:val="21"/>
              </w:rPr>
              <w:t>3</w:t>
            </w:r>
            <w:r>
              <w:rPr>
                <w:rFonts w:hint="eastAsia" w:ascii="宋体" w:hAnsi="宋体" w:cs="宋体"/>
                <w:color w:val="000000"/>
                <w:kern w:val="0"/>
                <w:szCs w:val="21"/>
              </w:rPr>
              <w:t>种以上类型物业（多层、高层住宅、办公楼或者其他物业）</w:t>
            </w:r>
          </w:p>
        </w:tc>
        <w:tc>
          <w:tcPr>
            <w:tcW w:w="2399"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546" w:type="dxa"/>
            <w:shd w:val="clear" w:color="auto" w:fill="auto"/>
            <w:vAlign w:val="top"/>
          </w:tcPr>
          <w:p>
            <w:pPr>
              <w:widowControl/>
              <w:rPr>
                <w:rFonts w:hint="eastAsia" w:ascii="黑体" w:hAnsi="黑体" w:eastAsia="黑体" w:cs="宋体"/>
                <w:kern w:val="0"/>
                <w:sz w:val="32"/>
                <w:szCs w:val="32"/>
              </w:rPr>
            </w:pPr>
            <w:r>
              <w:rPr>
                <w:rFonts w:hint="eastAsia" w:ascii="黑体" w:hAnsi="黑体" w:eastAsia="黑体" w:cs="宋体"/>
                <w:kern w:val="0"/>
                <w:sz w:val="32"/>
                <w:szCs w:val="32"/>
              </w:rPr>
              <mc:AlternateContent>
                <mc:Choice Requires="wps">
                  <w:drawing>
                    <wp:anchor distT="0" distB="0" distL="114300" distR="114300" simplePos="0" relativeHeight="251658240" behindDoc="0" locked="0" layoutInCell="1" allowOverlap="1">
                      <wp:simplePos x="0" y="0"/>
                      <wp:positionH relativeFrom="column">
                        <wp:posOffset>-8294370</wp:posOffset>
                      </wp:positionH>
                      <wp:positionV relativeFrom="paragraph">
                        <wp:posOffset>-4445</wp:posOffset>
                      </wp:positionV>
                      <wp:extent cx="904875" cy="0"/>
                      <wp:effectExtent l="0" t="0" r="0" b="0"/>
                      <wp:wrapNone/>
                      <wp:docPr id="2" name="自选图形 2"/>
                      <wp:cNvGraphicFramePr/>
                      <a:graphic xmlns:a="http://schemas.openxmlformats.org/drawingml/2006/main">
                        <a:graphicData uri="http://schemas.microsoft.com/office/word/2010/wordprocessingShape">
                          <wps:wsp>
                            <wps:cNvCnPr/>
                            <wps:spPr>
                              <a:xfrm flipH="1">
                                <a:off x="0" y="0"/>
                                <a:ext cx="9048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flip:x;margin-left:-653.1pt;margin-top:-0.35pt;height:0pt;width:71.25pt;z-index:251658240;mso-width-relative:page;mso-height-relative:page;" o:connectortype="straight" filled="f" coordsize="21600,21600" o:gfxdata="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51Z5DYAAAACwEAAA8A&#10;AAAAAAAAAQAgAAAAIgAAAGRycy9kb3ducmV2LnhtbFBLAQIUABQAAAAIAIdO4kBwoxhv3gEAAJ4D&#10;AAAOAAAAAAAAAAEAIAAAACcBAABkcnMvZTJvRG9jLnhtbFBLBQYAAAAABgAGAFkBAAB3BQAAAAA=&#10;">
                      <v:path arrowok="t"/>
                      <v:fill on="f" focussize="0,0"/>
                      <v:stroke/>
                      <v:imagedata o:title=""/>
                      <o:lock v:ext="edit"/>
                    </v:shape>
                  </w:pict>
                </mc:Fallback>
              </mc:AlternateContent>
            </w:r>
            <w:r>
              <w:rPr>
                <w:rFonts w:hint="eastAsia" w:ascii="黑体" w:hAnsi="黑体" w:eastAsia="黑体"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HDWYXY009</w:t>
            </w:r>
          </w:p>
        </w:tc>
        <w:tc>
          <w:tcPr>
            <w:tcW w:w="1861"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专业技术实力分</w:t>
            </w:r>
          </w:p>
        </w:tc>
        <w:tc>
          <w:tcPr>
            <w:tcW w:w="5625" w:type="dxa"/>
            <w:gridSpan w:val="2"/>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在册物业管理专业人员和中级职称工程经济管理专业技术人员</w:t>
            </w:r>
          </w:p>
        </w:tc>
        <w:tc>
          <w:tcPr>
            <w:tcW w:w="2399"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2/5人</w:t>
            </w:r>
          </w:p>
        </w:tc>
        <w:tc>
          <w:tcPr>
            <w:tcW w:w="1546" w:type="dxa"/>
            <w:shd w:val="clear" w:color="auto" w:fill="auto"/>
            <w:vAlign w:val="top"/>
          </w:tcPr>
          <w:p>
            <w:pPr>
              <w:widowControl/>
              <w:rPr>
                <w:rFonts w:hint="eastAsia" w:ascii="黑体" w:hAnsi="黑体" w:eastAsia="黑体" w:cs="宋体"/>
                <w:kern w:val="0"/>
                <w:sz w:val="32"/>
                <w:szCs w:val="32"/>
              </w:rPr>
            </w:pPr>
            <w:r>
              <w:rPr>
                <w:rFonts w:hint="eastAsia" w:ascii="黑体" w:hAnsi="黑体" w:eastAsia="黑体"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HDWYXY0010</w:t>
            </w:r>
          </w:p>
        </w:tc>
        <w:tc>
          <w:tcPr>
            <w:tcW w:w="1861"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行业自律分</w:t>
            </w: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加入物业管理协会，承认遵守行业行规行约</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546" w:type="dxa"/>
            <w:shd w:val="clear" w:color="auto" w:fill="auto"/>
            <w:vAlign w:val="top"/>
          </w:tcPr>
          <w:p>
            <w:pPr>
              <w:widowControl/>
              <w:rPr>
                <w:rFonts w:hint="eastAsia" w:ascii="黑体" w:hAnsi="黑体" w:eastAsia="黑体" w:cs="宋体"/>
                <w:kern w:val="0"/>
                <w:sz w:val="32"/>
                <w:szCs w:val="32"/>
              </w:rPr>
            </w:pPr>
            <w:r>
              <w:rPr>
                <w:rFonts w:hint="eastAsia" w:ascii="黑体" w:hAnsi="黑体" w:eastAsia="黑体"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trPr>
        <w:tc>
          <w:tcPr>
            <w:tcW w:w="1425" w:type="dxa"/>
            <w:vMerge w:val="restart"/>
            <w:shd w:val="clear" w:color="auto" w:fill="auto"/>
            <w:vAlign w:val="top"/>
          </w:tcPr>
          <w:p>
            <w:pPr>
              <w:widowControl/>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br w:type="textWrapping"/>
            </w:r>
            <w:r>
              <w:rPr>
                <w:rFonts w:hint="eastAsia" w:ascii="黑体" w:hAnsi="黑体" w:eastAsia="黑体" w:cs="宋体"/>
                <w:color w:val="000000"/>
                <w:kern w:val="0"/>
                <w:sz w:val="22"/>
                <w:szCs w:val="22"/>
              </w:rPr>
              <w:br w:type="textWrapping"/>
            </w:r>
            <w:r>
              <w:rPr>
                <w:rFonts w:hint="eastAsia" w:ascii="黑体" w:hAnsi="黑体" w:eastAsia="黑体" w:cs="宋体"/>
                <w:color w:val="000000"/>
                <w:kern w:val="0"/>
                <w:sz w:val="22"/>
                <w:szCs w:val="22"/>
              </w:rPr>
              <w:t>良好信用</w:t>
            </w:r>
            <w:r>
              <w:rPr>
                <w:rFonts w:hint="eastAsia" w:ascii="黑体" w:hAnsi="黑体" w:eastAsia="黑体" w:cs="宋体"/>
                <w:color w:val="000000"/>
                <w:kern w:val="0"/>
                <w:sz w:val="22"/>
                <w:szCs w:val="22"/>
              </w:rPr>
              <w:br w:type="textWrapping"/>
            </w:r>
            <w:r>
              <w:rPr>
                <w:rFonts w:hint="eastAsia" w:ascii="黑体" w:hAnsi="黑体" w:eastAsia="黑体" w:cs="宋体"/>
                <w:color w:val="000000"/>
                <w:kern w:val="0"/>
                <w:sz w:val="22"/>
                <w:szCs w:val="22"/>
              </w:rPr>
              <w:t>信息加分</w:t>
            </w: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HDWYXY011</w:t>
            </w:r>
          </w:p>
        </w:tc>
        <w:tc>
          <w:tcPr>
            <w:tcW w:w="1861" w:type="dxa"/>
            <w:vMerge w:val="restar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企业或负责人</w:t>
            </w:r>
            <w:r>
              <w:rPr>
                <w:rFonts w:hint="eastAsia" w:ascii="宋体" w:hAnsi="宋体" w:cs="宋体"/>
                <w:kern w:val="0"/>
                <w:szCs w:val="21"/>
              </w:rPr>
              <w:br w:type="textWrapping"/>
            </w:r>
            <w:r>
              <w:rPr>
                <w:rFonts w:hint="eastAsia" w:ascii="宋体" w:hAnsi="宋体" w:cs="宋体"/>
                <w:kern w:val="0"/>
                <w:szCs w:val="21"/>
              </w:rPr>
              <w:t>获得荣誉称号</w:t>
            </w: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国务院表彰</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1546" w:type="dxa"/>
            <w:vMerge w:val="restart"/>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按项目数量累计加分，同一项目同</w:t>
            </w:r>
            <w:r>
              <w:rPr>
                <w:rFonts w:hint="eastAsia" w:ascii="宋体" w:hAnsi="宋体" w:cs="宋体"/>
                <w:kern w:val="0"/>
                <w:szCs w:val="21"/>
              </w:rPr>
              <w:t>一奖项按最高荣誉计算一次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HDWYXY012</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国家部委表彰</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HDWYXY013</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省政府表彰</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HDWYXY014</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top"/>
          </w:tcPr>
          <w:p>
            <w:pPr>
              <w:widowControl/>
              <w:rPr>
                <w:rFonts w:hint="eastAsia" w:ascii="宋体" w:hAnsi="宋体" w:cs="宋体"/>
                <w:color w:val="000000"/>
                <w:kern w:val="0"/>
                <w:szCs w:val="21"/>
              </w:rPr>
            </w:pPr>
            <w:r>
              <w:rPr>
                <w:rFonts w:hint="eastAsia" w:ascii="宋体" w:hAnsi="宋体" w:cs="宋体"/>
                <w:color w:val="000000"/>
                <w:kern w:val="0"/>
                <w:szCs w:val="21"/>
              </w:rPr>
              <w:t>省部门表彰</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trPr>
        <w:tc>
          <w:tcPr>
            <w:tcW w:w="1425" w:type="dxa"/>
            <w:vMerge w:val="restart"/>
            <w:shd w:val="clear" w:color="auto" w:fill="auto"/>
            <w:vAlign w:val="center"/>
          </w:tcPr>
          <w:p>
            <w:pPr>
              <w:widowControl/>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良好信用</w:t>
            </w:r>
            <w:r>
              <w:rPr>
                <w:rFonts w:hint="eastAsia" w:ascii="黑体" w:hAnsi="黑体" w:eastAsia="黑体" w:cs="宋体"/>
                <w:color w:val="000000"/>
                <w:kern w:val="0"/>
                <w:sz w:val="22"/>
                <w:szCs w:val="22"/>
              </w:rPr>
              <w:br w:type="textWrapping"/>
            </w:r>
            <w:r>
              <w:rPr>
                <w:rFonts w:hint="eastAsia" w:ascii="黑体" w:hAnsi="黑体" w:eastAsia="黑体" w:cs="宋体"/>
                <w:color w:val="000000"/>
                <w:kern w:val="0"/>
                <w:sz w:val="22"/>
                <w:szCs w:val="22"/>
              </w:rPr>
              <w:t>信息加分</w:t>
            </w: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HDWYXY015</w:t>
            </w:r>
          </w:p>
        </w:tc>
        <w:tc>
          <w:tcPr>
            <w:tcW w:w="1861" w:type="dxa"/>
            <w:vMerge w:val="restar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企业或负责人</w:t>
            </w:r>
            <w:r>
              <w:rPr>
                <w:rFonts w:hint="eastAsia" w:ascii="宋体" w:hAnsi="宋体" w:cs="宋体"/>
                <w:kern w:val="0"/>
                <w:szCs w:val="21"/>
              </w:rPr>
              <w:br w:type="textWrapping"/>
            </w:r>
            <w:r>
              <w:rPr>
                <w:rFonts w:hint="eastAsia" w:ascii="宋体" w:hAnsi="宋体" w:cs="宋体"/>
                <w:kern w:val="0"/>
                <w:szCs w:val="21"/>
              </w:rPr>
              <w:t>获得荣誉称号</w:t>
            </w:r>
          </w:p>
        </w:tc>
        <w:tc>
          <w:tcPr>
            <w:tcW w:w="5625" w:type="dxa"/>
            <w:gridSpan w:val="2"/>
            <w:shd w:val="clear" w:color="auto" w:fill="auto"/>
            <w:vAlign w:val="top"/>
          </w:tcPr>
          <w:p>
            <w:pPr>
              <w:widowControl/>
              <w:rPr>
                <w:rFonts w:hint="eastAsia" w:ascii="宋体" w:hAnsi="宋体" w:cs="宋体"/>
                <w:color w:val="000000"/>
                <w:kern w:val="0"/>
                <w:szCs w:val="21"/>
              </w:rPr>
            </w:pPr>
            <w:r>
              <w:rPr>
                <w:rFonts w:hint="eastAsia" w:ascii="宋体" w:hAnsi="宋体" w:cs="宋体"/>
                <w:color w:val="000000"/>
                <w:kern w:val="0"/>
                <w:szCs w:val="21"/>
              </w:rPr>
              <w:t>市政府表彰</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546" w:type="dxa"/>
            <w:vMerge w:val="restart"/>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按项目数量累计加分，同一项目同</w:t>
            </w:r>
            <w:r>
              <w:rPr>
                <w:rFonts w:hint="eastAsia" w:ascii="宋体" w:hAnsi="宋体" w:cs="宋体"/>
                <w:kern w:val="0"/>
                <w:szCs w:val="21"/>
              </w:rPr>
              <w:t>一奖项按最高荣誉计算一次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HDWYXY016</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top"/>
          </w:tcPr>
          <w:p>
            <w:pPr>
              <w:widowControl/>
              <w:rPr>
                <w:rFonts w:hint="eastAsia" w:ascii="宋体" w:hAnsi="宋体" w:cs="宋体"/>
                <w:kern w:val="0"/>
                <w:szCs w:val="21"/>
              </w:rPr>
            </w:pPr>
            <w:r>
              <w:rPr>
                <w:rFonts w:hint="eastAsia" w:ascii="宋体" w:hAnsi="宋体" w:cs="宋体"/>
                <w:kern w:val="0"/>
                <w:szCs w:val="21"/>
              </w:rPr>
              <w:t>市政府部门表彰</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HDWYXY017</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top"/>
          </w:tcPr>
          <w:p>
            <w:pPr>
              <w:widowControl/>
              <w:rPr>
                <w:rFonts w:hint="eastAsia" w:ascii="宋体" w:hAnsi="宋体" w:cs="宋体"/>
                <w:kern w:val="0"/>
                <w:szCs w:val="21"/>
              </w:rPr>
            </w:pPr>
            <w:r>
              <w:rPr>
                <w:rFonts w:hint="eastAsia" w:ascii="宋体" w:hAnsi="宋体" w:cs="宋体"/>
                <w:kern w:val="0"/>
                <w:szCs w:val="21"/>
              </w:rPr>
              <w:t>中物协或省、市物协表彰</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HDWYXY018</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top"/>
          </w:tcPr>
          <w:p>
            <w:pPr>
              <w:widowControl/>
              <w:rPr>
                <w:rFonts w:hint="eastAsia" w:ascii="宋体" w:hAnsi="宋体" w:cs="宋体"/>
                <w:kern w:val="0"/>
                <w:szCs w:val="21"/>
              </w:rPr>
            </w:pPr>
            <w:r>
              <w:rPr>
                <w:rFonts w:hint="eastAsia" w:ascii="宋体" w:hAnsi="宋体" w:cs="宋体"/>
                <w:kern w:val="0"/>
                <w:szCs w:val="21"/>
              </w:rPr>
              <w:t>县（市、区）政府表彰</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HDWYXY019</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top"/>
          </w:tcPr>
          <w:p>
            <w:pPr>
              <w:widowControl/>
              <w:rPr>
                <w:rFonts w:hint="eastAsia" w:ascii="宋体" w:hAnsi="宋体" w:cs="宋体"/>
                <w:kern w:val="0"/>
                <w:szCs w:val="21"/>
              </w:rPr>
            </w:pPr>
            <w:r>
              <w:rPr>
                <w:rFonts w:hint="eastAsia" w:ascii="宋体" w:hAnsi="宋体" w:cs="宋体"/>
                <w:kern w:val="0"/>
                <w:szCs w:val="21"/>
              </w:rPr>
              <w:t>县（市、区）部门、街道（乡镇）表彰</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HDWYXY020</w:t>
            </w:r>
          </w:p>
        </w:tc>
        <w:tc>
          <w:tcPr>
            <w:tcW w:w="1861" w:type="dxa"/>
            <w:vMerge w:val="restar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企业</w:t>
            </w:r>
            <w:r>
              <w:rPr>
                <w:rFonts w:hint="eastAsia" w:ascii="宋体" w:hAnsi="宋体" w:cs="宋体"/>
                <w:color w:val="000000"/>
                <w:kern w:val="0"/>
                <w:szCs w:val="21"/>
              </w:rPr>
              <w:t>获得物业管理优秀住宅小区（大厦、工业区）荣誉称号</w:t>
            </w:r>
          </w:p>
        </w:tc>
        <w:tc>
          <w:tcPr>
            <w:tcW w:w="5625" w:type="dxa"/>
            <w:gridSpan w:val="2"/>
            <w:shd w:val="clear" w:color="auto" w:fill="auto"/>
            <w:vAlign w:val="top"/>
          </w:tcPr>
          <w:p>
            <w:pPr>
              <w:widowControl/>
              <w:rPr>
                <w:rFonts w:hint="eastAsia" w:ascii="宋体" w:hAnsi="宋体" w:cs="宋体"/>
                <w:kern w:val="0"/>
                <w:szCs w:val="21"/>
              </w:rPr>
            </w:pPr>
            <w:r>
              <w:rPr>
                <w:rFonts w:hint="eastAsia" w:ascii="宋体" w:hAnsi="宋体" w:cs="宋体"/>
                <w:kern w:val="0"/>
                <w:szCs w:val="21"/>
              </w:rPr>
              <w:t>国家级表彰</w:t>
            </w:r>
          </w:p>
        </w:tc>
        <w:tc>
          <w:tcPr>
            <w:tcW w:w="2399"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546" w:type="dxa"/>
            <w:vMerge w:val="restart"/>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每一项目同</w:t>
            </w:r>
            <w:r>
              <w:rPr>
                <w:rFonts w:hint="eastAsia" w:ascii="宋体" w:hAnsi="宋体" w:cs="宋体"/>
                <w:kern w:val="0"/>
                <w:szCs w:val="21"/>
              </w:rPr>
              <w:t>一奖项按最高荣誉计算一次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HDWYXY021</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top"/>
          </w:tcPr>
          <w:p>
            <w:pPr>
              <w:widowControl/>
              <w:rPr>
                <w:rFonts w:hint="eastAsia" w:ascii="宋体" w:hAnsi="宋体" w:cs="宋体"/>
                <w:kern w:val="0"/>
                <w:szCs w:val="21"/>
              </w:rPr>
            </w:pPr>
            <w:r>
              <w:rPr>
                <w:rFonts w:hint="eastAsia" w:ascii="宋体" w:hAnsi="宋体" w:cs="宋体"/>
                <w:kern w:val="0"/>
                <w:szCs w:val="21"/>
              </w:rPr>
              <w:t>省部级表彰</w:t>
            </w:r>
          </w:p>
        </w:tc>
        <w:tc>
          <w:tcPr>
            <w:tcW w:w="2399"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HDWYXY022</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top"/>
          </w:tcPr>
          <w:p>
            <w:pPr>
              <w:widowControl/>
              <w:rPr>
                <w:rFonts w:hint="eastAsia" w:ascii="宋体" w:hAnsi="宋体" w:cs="宋体"/>
                <w:kern w:val="0"/>
                <w:szCs w:val="21"/>
              </w:rPr>
            </w:pPr>
            <w:r>
              <w:rPr>
                <w:rFonts w:hint="eastAsia" w:ascii="宋体" w:hAnsi="宋体" w:cs="宋体"/>
                <w:kern w:val="0"/>
                <w:szCs w:val="21"/>
              </w:rPr>
              <w:t>市级表彰</w:t>
            </w:r>
          </w:p>
        </w:tc>
        <w:tc>
          <w:tcPr>
            <w:tcW w:w="2399"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HDWYXY023</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top"/>
          </w:tcPr>
          <w:p>
            <w:pPr>
              <w:widowControl/>
              <w:rPr>
                <w:rFonts w:hint="eastAsia" w:ascii="宋体" w:hAnsi="宋体" w:cs="宋体"/>
                <w:kern w:val="0"/>
                <w:szCs w:val="21"/>
              </w:rPr>
            </w:pPr>
            <w:r>
              <w:rPr>
                <w:rFonts w:hint="eastAsia" w:ascii="宋体" w:hAnsi="宋体" w:cs="宋体"/>
                <w:kern w:val="0"/>
                <w:szCs w:val="21"/>
              </w:rPr>
              <w:t>县级表彰</w:t>
            </w:r>
          </w:p>
        </w:tc>
        <w:tc>
          <w:tcPr>
            <w:tcW w:w="2399"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HDWYXY024</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top"/>
          </w:tcPr>
          <w:p>
            <w:pPr>
              <w:widowControl/>
              <w:rPr>
                <w:rFonts w:hint="eastAsia" w:ascii="宋体" w:hAnsi="宋体" w:cs="宋体"/>
                <w:kern w:val="0"/>
                <w:szCs w:val="21"/>
              </w:rPr>
            </w:pPr>
            <w:r>
              <w:rPr>
                <w:rFonts w:hint="eastAsia" w:ascii="宋体" w:hAnsi="宋体" w:cs="宋体"/>
                <w:kern w:val="0"/>
                <w:szCs w:val="21"/>
              </w:rPr>
              <w:t>中物协或省、市物协表彰</w:t>
            </w:r>
          </w:p>
        </w:tc>
        <w:tc>
          <w:tcPr>
            <w:tcW w:w="2399"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vMerge w:val="restart"/>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HDWYXY025</w:t>
            </w:r>
          </w:p>
        </w:tc>
        <w:tc>
          <w:tcPr>
            <w:tcW w:w="1861" w:type="dxa"/>
            <w:vMerge w:val="restar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先进典型</w:t>
            </w:r>
          </w:p>
        </w:tc>
        <w:tc>
          <w:tcPr>
            <w:tcW w:w="5625" w:type="dxa"/>
            <w:gridSpan w:val="2"/>
            <w:vMerge w:val="restart"/>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-3208655</wp:posOffset>
                      </wp:positionH>
                      <wp:positionV relativeFrom="paragraph">
                        <wp:posOffset>-2540</wp:posOffset>
                      </wp:positionV>
                      <wp:extent cx="1002030" cy="635"/>
                      <wp:effectExtent l="0" t="0" r="0" b="0"/>
                      <wp:wrapNone/>
                      <wp:docPr id="1" name="自选图形 3"/>
                      <wp:cNvGraphicFramePr/>
                      <a:graphic xmlns:a="http://schemas.openxmlformats.org/drawingml/2006/main">
                        <a:graphicData uri="http://schemas.microsoft.com/office/word/2010/wordprocessingShape">
                          <wps:wsp>
                            <wps:cNvCnPr/>
                            <wps:spPr>
                              <a:xfrm>
                                <a:off x="0" y="0"/>
                                <a:ext cx="100203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252.65pt;margin-top:-0.2pt;height:0.05pt;width:78.9pt;z-index:251659264;mso-width-relative:page;mso-height-relative:page;" o:connectortype="straight" filled="f" coordsize="21600,21600" o:gfxdata="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bzXD/ZAAAACQEAAA8AAAAA&#10;AAAAAQAgAAAAIgAAAGRycy9kb3ducmV2LnhtbFBLAQIUABQAAAAIAIdO4kBugGru2gEAAJcDAAAO&#10;AAAAAAAAAAEAIAAAACgBAABkcnMvZTJvRG9jLnhtbFBLBQYAAAAABgAGAFkBAAB0BQAAAAA=&#10;">
                      <v:path arrowok="t"/>
                      <v:fill on="f" focussize="0,0"/>
                      <v:stroke/>
                      <v:imagedata o:title=""/>
                      <o:lock v:ext="edit"/>
                    </v:shape>
                  </w:pict>
                </mc:Fallback>
              </mc:AlternateContent>
            </w:r>
            <w:r>
              <w:rPr>
                <w:rFonts w:hint="eastAsia" w:ascii="宋体" w:hAnsi="宋体" w:cs="宋体"/>
                <w:color w:val="000000"/>
                <w:kern w:val="0"/>
                <w:szCs w:val="21"/>
              </w:rPr>
              <w:t>企业先进典型当年被国家级新闻媒体宣传报道，对物业行业发展具有正面、积极意义的（可按宣传报道次数累计加分，但同一先进典型被各级新闻媒体宣传报道的，以最高等级加分，不重复累计）</w:t>
            </w:r>
          </w:p>
        </w:tc>
        <w:tc>
          <w:tcPr>
            <w:tcW w:w="2399" w:type="dxa"/>
            <w:vMerge w:val="restart"/>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546" w:type="dxa"/>
            <w:vMerge w:val="restart"/>
            <w:shd w:val="clear" w:color="auto" w:fill="auto"/>
            <w:vAlign w:val="top"/>
          </w:tcPr>
          <w:p>
            <w:pPr>
              <w:widowControl/>
              <w:rPr>
                <w:rFonts w:hint="eastAsia" w:ascii="黑体" w:hAnsi="黑体" w:eastAsia="黑体" w:cs="宋体"/>
                <w:kern w:val="0"/>
                <w:sz w:val="32"/>
                <w:szCs w:val="32"/>
              </w:rPr>
            </w:pPr>
            <w:r>
              <w:rPr>
                <w:rFonts w:hint="eastAsia" w:ascii="黑体" w:hAnsi="黑体" w:eastAsia="黑体"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1425" w:type="dxa"/>
            <w:vMerge w:val="continue"/>
            <w:vAlign w:val="center"/>
          </w:tcPr>
          <w:p>
            <w:pPr>
              <w:widowControl/>
              <w:jc w:val="left"/>
              <w:rPr>
                <w:rFonts w:ascii="黑体" w:hAnsi="黑体" w:eastAsia="黑体" w:cs="宋体"/>
                <w:color w:val="000000"/>
                <w:kern w:val="0"/>
                <w:sz w:val="22"/>
                <w:szCs w:val="22"/>
              </w:rPr>
            </w:pPr>
          </w:p>
        </w:tc>
        <w:tc>
          <w:tcPr>
            <w:tcW w:w="1624" w:type="dxa"/>
            <w:vMerge w:val="continue"/>
            <w:vAlign w:val="center"/>
          </w:tcPr>
          <w:p>
            <w:pPr>
              <w:widowControl/>
              <w:jc w:val="left"/>
              <w:rPr>
                <w:rFonts w:ascii="华文中宋" w:hAnsi="华文中宋" w:eastAsia="华文中宋" w:cs="宋体"/>
                <w:color w:val="000000"/>
                <w:kern w:val="0"/>
                <w:sz w:val="20"/>
                <w:szCs w:val="20"/>
              </w:rPr>
            </w:pPr>
          </w:p>
        </w:tc>
        <w:tc>
          <w:tcPr>
            <w:tcW w:w="1861" w:type="dxa"/>
            <w:vMerge w:val="continue"/>
            <w:vAlign w:val="center"/>
          </w:tcPr>
          <w:p>
            <w:pPr>
              <w:widowControl/>
              <w:jc w:val="left"/>
              <w:rPr>
                <w:rFonts w:ascii="宋体" w:hAnsi="宋体" w:cs="宋体"/>
                <w:kern w:val="0"/>
                <w:szCs w:val="21"/>
              </w:rPr>
            </w:pPr>
          </w:p>
        </w:tc>
        <w:tc>
          <w:tcPr>
            <w:tcW w:w="5625" w:type="dxa"/>
            <w:gridSpan w:val="2"/>
            <w:vMerge w:val="continue"/>
            <w:vAlign w:val="center"/>
          </w:tcPr>
          <w:p>
            <w:pPr>
              <w:widowControl/>
              <w:jc w:val="left"/>
              <w:rPr>
                <w:rFonts w:ascii="宋体" w:hAnsi="宋体" w:cs="宋体"/>
                <w:color w:val="000000"/>
                <w:kern w:val="0"/>
                <w:szCs w:val="21"/>
              </w:rPr>
            </w:pPr>
          </w:p>
        </w:tc>
        <w:tc>
          <w:tcPr>
            <w:tcW w:w="2399" w:type="dxa"/>
            <w:vMerge w:val="continue"/>
            <w:vAlign w:val="center"/>
          </w:tcPr>
          <w:p>
            <w:pPr>
              <w:widowControl/>
              <w:jc w:val="left"/>
              <w:rPr>
                <w:rFonts w:ascii="宋体" w:hAnsi="宋体" w:cs="宋体"/>
                <w:color w:val="000000"/>
                <w:kern w:val="0"/>
                <w:szCs w:val="21"/>
              </w:rPr>
            </w:pPr>
          </w:p>
        </w:tc>
        <w:tc>
          <w:tcPr>
            <w:tcW w:w="1546" w:type="dxa"/>
            <w:vMerge w:val="continue"/>
            <w:vAlign w:val="center"/>
          </w:tcPr>
          <w:p>
            <w:pPr>
              <w:widowControl/>
              <w:jc w:val="left"/>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1425" w:type="dxa"/>
            <w:vMerge w:val="continue"/>
            <w:vAlign w:val="center"/>
          </w:tcPr>
          <w:p>
            <w:pPr>
              <w:widowControl/>
              <w:jc w:val="left"/>
              <w:rPr>
                <w:rFonts w:ascii="黑体" w:hAnsi="黑体" w:eastAsia="黑体" w:cs="宋体"/>
                <w:color w:val="000000"/>
                <w:kern w:val="0"/>
                <w:sz w:val="22"/>
                <w:szCs w:val="22"/>
              </w:rPr>
            </w:pPr>
          </w:p>
        </w:tc>
        <w:tc>
          <w:tcPr>
            <w:tcW w:w="1624" w:type="dxa"/>
            <w:vMerge w:val="continue"/>
            <w:vAlign w:val="center"/>
          </w:tcPr>
          <w:p>
            <w:pPr>
              <w:widowControl/>
              <w:jc w:val="left"/>
              <w:rPr>
                <w:rFonts w:ascii="华文中宋" w:hAnsi="华文中宋" w:eastAsia="华文中宋" w:cs="宋体"/>
                <w:color w:val="000000"/>
                <w:kern w:val="0"/>
                <w:sz w:val="20"/>
                <w:szCs w:val="20"/>
              </w:rPr>
            </w:pPr>
          </w:p>
        </w:tc>
        <w:tc>
          <w:tcPr>
            <w:tcW w:w="1861" w:type="dxa"/>
            <w:vMerge w:val="continue"/>
            <w:vAlign w:val="center"/>
          </w:tcPr>
          <w:p>
            <w:pPr>
              <w:widowControl/>
              <w:jc w:val="left"/>
              <w:rPr>
                <w:rFonts w:ascii="宋体" w:hAnsi="宋体" w:cs="宋体"/>
                <w:kern w:val="0"/>
                <w:szCs w:val="21"/>
              </w:rPr>
            </w:pPr>
          </w:p>
        </w:tc>
        <w:tc>
          <w:tcPr>
            <w:tcW w:w="5625" w:type="dxa"/>
            <w:gridSpan w:val="2"/>
            <w:vMerge w:val="continue"/>
            <w:vAlign w:val="center"/>
          </w:tcPr>
          <w:p>
            <w:pPr>
              <w:widowControl/>
              <w:jc w:val="left"/>
              <w:rPr>
                <w:rFonts w:ascii="宋体" w:hAnsi="宋体" w:cs="宋体"/>
                <w:color w:val="000000"/>
                <w:kern w:val="0"/>
                <w:szCs w:val="21"/>
              </w:rPr>
            </w:pPr>
          </w:p>
        </w:tc>
        <w:tc>
          <w:tcPr>
            <w:tcW w:w="2399" w:type="dxa"/>
            <w:vMerge w:val="continue"/>
            <w:vAlign w:val="center"/>
          </w:tcPr>
          <w:p>
            <w:pPr>
              <w:widowControl/>
              <w:jc w:val="left"/>
              <w:rPr>
                <w:rFonts w:ascii="宋体" w:hAnsi="宋体" w:cs="宋体"/>
                <w:color w:val="000000"/>
                <w:kern w:val="0"/>
                <w:szCs w:val="21"/>
              </w:rPr>
            </w:pPr>
          </w:p>
        </w:tc>
        <w:tc>
          <w:tcPr>
            <w:tcW w:w="1546" w:type="dxa"/>
            <w:vMerge w:val="continue"/>
            <w:vAlign w:val="center"/>
          </w:tcPr>
          <w:p>
            <w:pPr>
              <w:widowControl/>
              <w:jc w:val="left"/>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1425" w:type="dxa"/>
            <w:vMerge w:val="continue"/>
            <w:vAlign w:val="center"/>
          </w:tcPr>
          <w:p>
            <w:pPr>
              <w:widowControl/>
              <w:jc w:val="left"/>
              <w:rPr>
                <w:rFonts w:ascii="黑体" w:hAnsi="黑体" w:eastAsia="黑体" w:cs="宋体"/>
                <w:color w:val="000000"/>
                <w:kern w:val="0"/>
                <w:sz w:val="22"/>
                <w:szCs w:val="22"/>
              </w:rPr>
            </w:pPr>
          </w:p>
        </w:tc>
        <w:tc>
          <w:tcPr>
            <w:tcW w:w="1624" w:type="dxa"/>
            <w:vMerge w:val="continue"/>
            <w:vAlign w:val="center"/>
          </w:tcPr>
          <w:p>
            <w:pPr>
              <w:widowControl/>
              <w:jc w:val="left"/>
              <w:rPr>
                <w:rFonts w:ascii="华文中宋" w:hAnsi="华文中宋" w:eastAsia="华文中宋" w:cs="宋体"/>
                <w:color w:val="000000"/>
                <w:kern w:val="0"/>
                <w:sz w:val="20"/>
                <w:szCs w:val="20"/>
              </w:rPr>
            </w:pPr>
          </w:p>
        </w:tc>
        <w:tc>
          <w:tcPr>
            <w:tcW w:w="1861" w:type="dxa"/>
            <w:vMerge w:val="continue"/>
            <w:vAlign w:val="center"/>
          </w:tcPr>
          <w:p>
            <w:pPr>
              <w:widowControl/>
              <w:jc w:val="left"/>
              <w:rPr>
                <w:rFonts w:ascii="宋体" w:hAnsi="宋体" w:cs="宋体"/>
                <w:kern w:val="0"/>
                <w:szCs w:val="21"/>
              </w:rPr>
            </w:pPr>
          </w:p>
        </w:tc>
        <w:tc>
          <w:tcPr>
            <w:tcW w:w="5625" w:type="dxa"/>
            <w:gridSpan w:val="2"/>
            <w:vMerge w:val="continue"/>
            <w:vAlign w:val="center"/>
          </w:tcPr>
          <w:p>
            <w:pPr>
              <w:widowControl/>
              <w:jc w:val="left"/>
              <w:rPr>
                <w:rFonts w:ascii="宋体" w:hAnsi="宋体" w:cs="宋体"/>
                <w:color w:val="000000"/>
                <w:kern w:val="0"/>
                <w:szCs w:val="21"/>
              </w:rPr>
            </w:pPr>
          </w:p>
        </w:tc>
        <w:tc>
          <w:tcPr>
            <w:tcW w:w="2399" w:type="dxa"/>
            <w:vMerge w:val="continue"/>
            <w:vAlign w:val="center"/>
          </w:tcPr>
          <w:p>
            <w:pPr>
              <w:widowControl/>
              <w:jc w:val="left"/>
              <w:rPr>
                <w:rFonts w:ascii="宋体" w:hAnsi="宋体" w:cs="宋体"/>
                <w:color w:val="000000"/>
                <w:kern w:val="0"/>
                <w:szCs w:val="21"/>
              </w:rPr>
            </w:pPr>
          </w:p>
        </w:tc>
        <w:tc>
          <w:tcPr>
            <w:tcW w:w="1546" w:type="dxa"/>
            <w:vMerge w:val="continue"/>
            <w:vAlign w:val="center"/>
          </w:tcPr>
          <w:p>
            <w:pPr>
              <w:widowControl/>
              <w:jc w:val="left"/>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HDWYXY026</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企业先进典型当年被省级新闻媒体宣传报道，对物业行业发展具有正面、积极意义的（可按宣传报道次数累计加分，但同一先进典型被各级新闻媒体宣传报道的，以最高等级加分，不重复累计）</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shd w:val="clear" w:color="auto" w:fill="auto"/>
            <w:vAlign w:val="top"/>
          </w:tcPr>
          <w:p>
            <w:pPr>
              <w:widowControl/>
              <w:rPr>
                <w:rFonts w:hint="eastAsia" w:ascii="黑体" w:hAnsi="黑体" w:eastAsia="黑体" w:cs="宋体"/>
                <w:kern w:val="0"/>
                <w:sz w:val="32"/>
                <w:szCs w:val="32"/>
              </w:rPr>
            </w:pPr>
            <w:r>
              <w:rPr>
                <w:rFonts w:hint="eastAsia" w:ascii="黑体" w:hAnsi="黑体" w:eastAsia="黑体"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HDWYXY027</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企业先进典型当年被市级新闻媒体宣传报道，对物业行业发展具有正面、积极意义的（可按宣传报道次数累计加分，但同一先进典型被各级新闻媒体宣传报道的，以最高等级加分，不重复累计）</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546" w:type="dxa"/>
            <w:shd w:val="clear" w:color="auto" w:fill="auto"/>
            <w:vAlign w:val="top"/>
          </w:tcPr>
          <w:p>
            <w:pPr>
              <w:widowControl/>
              <w:rPr>
                <w:rFonts w:hint="eastAsia" w:ascii="黑体" w:hAnsi="黑体" w:eastAsia="黑体" w:cs="宋体"/>
                <w:kern w:val="0"/>
                <w:sz w:val="32"/>
                <w:szCs w:val="32"/>
              </w:rPr>
            </w:pPr>
            <w:r>
              <w:rPr>
                <w:rFonts w:hint="eastAsia" w:ascii="黑体" w:hAnsi="黑体" w:eastAsia="黑体"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HDWYXY028</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企业先进典型当年被县（市、区）级新闻媒体宣传报道，对物业行业发展具有正面、积极意义的（可按宣传报道次数累计加分，但同一先进典型被各级新闻媒体宣传报道的，以最高等级加分，不重复累计）</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546" w:type="dxa"/>
            <w:shd w:val="clear" w:color="auto" w:fill="auto"/>
            <w:vAlign w:val="top"/>
          </w:tcPr>
          <w:p>
            <w:pPr>
              <w:widowControl/>
              <w:rPr>
                <w:rFonts w:hint="eastAsia" w:ascii="黑体" w:hAnsi="黑体" w:eastAsia="黑体" w:cs="宋体"/>
                <w:kern w:val="0"/>
                <w:sz w:val="32"/>
                <w:szCs w:val="32"/>
              </w:rPr>
            </w:pPr>
            <w:r>
              <w:rPr>
                <w:rFonts w:hint="eastAsia" w:ascii="黑体" w:hAnsi="黑体" w:eastAsia="黑体"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HDWYXY029</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企业先进典型当年物业管理协会宣传报道，对物业行业发展具有正面、积极意义的（可按宣传报道次数累计加分，但同一先进典型被各级协会宣传报道的，不重复累计）</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546" w:type="dxa"/>
            <w:shd w:val="clear" w:color="auto" w:fill="auto"/>
            <w:vAlign w:val="top"/>
          </w:tcPr>
          <w:p>
            <w:pPr>
              <w:widowControl/>
              <w:rPr>
                <w:rFonts w:hint="eastAsia" w:ascii="黑体" w:hAnsi="黑体" w:eastAsia="黑体" w:cs="宋体"/>
                <w:kern w:val="0"/>
                <w:sz w:val="32"/>
                <w:szCs w:val="32"/>
              </w:rPr>
            </w:pPr>
            <w:r>
              <w:rPr>
                <w:rFonts w:hint="eastAsia" w:ascii="黑体" w:hAnsi="黑体" w:eastAsia="黑体"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blHeader/>
        </w:trPr>
        <w:tc>
          <w:tcPr>
            <w:tcW w:w="1425" w:type="dxa"/>
            <w:vMerge w:val="restart"/>
            <w:shd w:val="clear" w:color="auto" w:fill="auto"/>
            <w:vAlign w:val="center"/>
          </w:tcPr>
          <w:p>
            <w:pPr>
              <w:widowControl/>
              <w:jc w:val="center"/>
              <w:rPr>
                <w:rFonts w:hint="eastAsia" w:ascii="黑体" w:hAnsi="黑体" w:eastAsia="黑体" w:cs="宋体"/>
                <w:kern w:val="0"/>
                <w:sz w:val="22"/>
                <w:szCs w:val="22"/>
              </w:rPr>
            </w:pPr>
            <w:r>
              <w:rPr>
                <w:rFonts w:hint="eastAsia" w:ascii="黑体" w:hAnsi="黑体" w:eastAsia="黑体" w:cs="宋体"/>
                <w:kern w:val="0"/>
                <w:sz w:val="22"/>
                <w:szCs w:val="22"/>
              </w:rPr>
              <w:t>良好信用</w:t>
            </w:r>
            <w:r>
              <w:rPr>
                <w:rFonts w:hint="eastAsia" w:ascii="黑体" w:hAnsi="黑体" w:eastAsia="黑体" w:cs="宋体"/>
                <w:kern w:val="0"/>
                <w:sz w:val="22"/>
                <w:szCs w:val="22"/>
              </w:rPr>
              <w:br w:type="textWrapping"/>
            </w:r>
            <w:r>
              <w:rPr>
                <w:rFonts w:hint="eastAsia" w:ascii="黑体" w:hAnsi="黑体" w:eastAsia="黑体" w:cs="宋体"/>
                <w:kern w:val="0"/>
                <w:sz w:val="22"/>
                <w:szCs w:val="22"/>
              </w:rPr>
              <w:t>信息加分</w:t>
            </w: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HDWYXY030</w:t>
            </w:r>
          </w:p>
        </w:tc>
        <w:tc>
          <w:tcPr>
            <w:tcW w:w="1861"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先进典型</w:t>
            </w: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当年受到业主委员会表扬的（以表扬信、锦旗等形式）</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546" w:type="dxa"/>
            <w:shd w:val="clear" w:color="auto" w:fill="auto"/>
            <w:vAlign w:val="top"/>
          </w:tcPr>
          <w:p>
            <w:pPr>
              <w:widowControl/>
              <w:rPr>
                <w:rFonts w:hint="eastAsia" w:ascii="黑体" w:hAnsi="黑体" w:eastAsia="黑体" w:cs="宋体"/>
                <w:kern w:val="0"/>
                <w:sz w:val="32"/>
                <w:szCs w:val="32"/>
              </w:rPr>
            </w:pPr>
            <w:r>
              <w:rPr>
                <w:rFonts w:hint="eastAsia" w:ascii="黑体" w:hAnsi="黑体" w:eastAsia="黑体"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1425" w:type="dxa"/>
            <w:vMerge w:val="continue"/>
            <w:shd w:val="clear" w:color="auto" w:fill="auto"/>
            <w:vAlign w:val="center"/>
          </w:tcPr>
          <w:p>
            <w:pPr>
              <w:widowControl/>
              <w:jc w:val="left"/>
              <w:rPr>
                <w:rFonts w:ascii="黑体" w:hAnsi="黑体" w:eastAsia="黑体" w:cs="宋体"/>
                <w:kern w:val="0"/>
                <w:sz w:val="22"/>
                <w:szCs w:val="22"/>
              </w:rPr>
            </w:pPr>
          </w:p>
        </w:tc>
        <w:tc>
          <w:tcPr>
            <w:tcW w:w="1624" w:type="dxa"/>
            <w:vMerge w:val="restart"/>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HDWYXY031</w:t>
            </w:r>
          </w:p>
        </w:tc>
        <w:tc>
          <w:tcPr>
            <w:tcW w:w="1861" w:type="dxa"/>
            <w:vMerge w:val="restar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交流互动</w:t>
            </w:r>
          </w:p>
        </w:tc>
        <w:tc>
          <w:tcPr>
            <w:tcW w:w="5625" w:type="dxa"/>
            <w:gridSpan w:val="2"/>
            <w:vMerge w:val="restart"/>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当年组织业主开展社区文化体育活动累计达三次以上的</w:t>
            </w:r>
          </w:p>
        </w:tc>
        <w:tc>
          <w:tcPr>
            <w:tcW w:w="2399" w:type="dxa"/>
            <w:vMerge w:val="restart"/>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546" w:type="dxa"/>
            <w:vMerge w:val="restart"/>
            <w:shd w:val="clear" w:color="auto" w:fill="auto"/>
            <w:vAlign w:val="top"/>
          </w:tcPr>
          <w:p>
            <w:pPr>
              <w:widowControl/>
              <w:rPr>
                <w:rFonts w:hint="eastAsia" w:ascii="黑体" w:hAnsi="黑体" w:eastAsia="黑体" w:cs="宋体"/>
                <w:kern w:val="0"/>
                <w:sz w:val="32"/>
                <w:szCs w:val="32"/>
              </w:rPr>
            </w:pPr>
            <w:r>
              <w:rPr>
                <w:rFonts w:hint="eastAsia" w:ascii="黑体" w:hAnsi="黑体" w:eastAsia="黑体"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1425" w:type="dxa"/>
            <w:vMerge w:val="continue"/>
            <w:vAlign w:val="center"/>
          </w:tcPr>
          <w:p>
            <w:pPr>
              <w:widowControl/>
              <w:jc w:val="left"/>
              <w:rPr>
                <w:rFonts w:ascii="黑体" w:hAnsi="黑体" w:eastAsia="黑体" w:cs="宋体"/>
                <w:kern w:val="0"/>
                <w:sz w:val="22"/>
                <w:szCs w:val="22"/>
              </w:rPr>
            </w:pPr>
          </w:p>
        </w:tc>
        <w:tc>
          <w:tcPr>
            <w:tcW w:w="1624" w:type="dxa"/>
            <w:vMerge w:val="continue"/>
            <w:vAlign w:val="center"/>
          </w:tcPr>
          <w:p>
            <w:pPr>
              <w:widowControl/>
              <w:jc w:val="left"/>
              <w:rPr>
                <w:rFonts w:ascii="华文中宋" w:hAnsi="华文中宋" w:eastAsia="华文中宋" w:cs="宋体"/>
                <w:color w:val="000000"/>
                <w:kern w:val="0"/>
                <w:sz w:val="20"/>
                <w:szCs w:val="20"/>
              </w:rPr>
            </w:pPr>
          </w:p>
        </w:tc>
        <w:tc>
          <w:tcPr>
            <w:tcW w:w="1861" w:type="dxa"/>
            <w:vMerge w:val="continue"/>
            <w:vAlign w:val="center"/>
          </w:tcPr>
          <w:p>
            <w:pPr>
              <w:widowControl/>
              <w:jc w:val="left"/>
              <w:rPr>
                <w:rFonts w:ascii="宋体" w:hAnsi="宋体" w:cs="宋体"/>
                <w:kern w:val="0"/>
                <w:szCs w:val="21"/>
              </w:rPr>
            </w:pPr>
          </w:p>
        </w:tc>
        <w:tc>
          <w:tcPr>
            <w:tcW w:w="5625" w:type="dxa"/>
            <w:gridSpan w:val="2"/>
            <w:vMerge w:val="continue"/>
            <w:vAlign w:val="center"/>
          </w:tcPr>
          <w:p>
            <w:pPr>
              <w:widowControl/>
              <w:jc w:val="left"/>
              <w:rPr>
                <w:rFonts w:ascii="宋体" w:hAnsi="宋体" w:cs="宋体"/>
                <w:color w:val="000000"/>
                <w:kern w:val="0"/>
                <w:szCs w:val="21"/>
              </w:rPr>
            </w:pPr>
          </w:p>
        </w:tc>
        <w:tc>
          <w:tcPr>
            <w:tcW w:w="2399" w:type="dxa"/>
            <w:vMerge w:val="continue"/>
            <w:vAlign w:val="center"/>
          </w:tcPr>
          <w:p>
            <w:pPr>
              <w:widowControl/>
              <w:jc w:val="left"/>
              <w:rPr>
                <w:rFonts w:ascii="宋体" w:hAnsi="宋体" w:cs="宋体"/>
                <w:color w:val="000000"/>
                <w:kern w:val="0"/>
                <w:szCs w:val="21"/>
              </w:rPr>
            </w:pPr>
          </w:p>
        </w:tc>
        <w:tc>
          <w:tcPr>
            <w:tcW w:w="1546" w:type="dxa"/>
            <w:vMerge w:val="continue"/>
            <w:vAlign w:val="center"/>
          </w:tcPr>
          <w:p>
            <w:pPr>
              <w:widowControl/>
              <w:jc w:val="left"/>
              <w:rPr>
                <w:rFonts w:ascii="黑体" w:hAnsi="黑体" w:eastAsia="黑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3" w:hRule="atLeast"/>
          <w:tblHeader/>
        </w:trPr>
        <w:tc>
          <w:tcPr>
            <w:tcW w:w="1425" w:type="dxa"/>
            <w:vMerge w:val="continue"/>
            <w:shd w:val="clear" w:color="auto" w:fill="auto"/>
            <w:vAlign w:val="center"/>
          </w:tcPr>
          <w:p>
            <w:pPr>
              <w:widowControl/>
              <w:jc w:val="left"/>
              <w:rPr>
                <w:rFonts w:ascii="黑体" w:hAnsi="黑体" w:eastAsia="黑体" w:cs="宋体"/>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HDWYXY032</w:t>
            </w:r>
          </w:p>
        </w:tc>
        <w:tc>
          <w:tcPr>
            <w:tcW w:w="1861"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创新发展</w:t>
            </w: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引领经济发展新常态，参加智慧项目“互联网</w:t>
            </w:r>
            <w:r>
              <w:rPr>
                <w:color w:val="000000"/>
                <w:kern w:val="0"/>
                <w:szCs w:val="21"/>
              </w:rPr>
              <w:t>+</w:t>
            </w:r>
            <w:r>
              <w:rPr>
                <w:rFonts w:hint="eastAsia" w:ascii="宋体" w:hAnsi="宋体" w:cs="宋体"/>
                <w:color w:val="000000"/>
                <w:kern w:val="0"/>
                <w:szCs w:val="21"/>
              </w:rPr>
              <w:t>物业”行动，企业运用“手机</w:t>
            </w:r>
            <w:r>
              <w:rPr>
                <w:color w:val="000000"/>
                <w:kern w:val="0"/>
                <w:szCs w:val="21"/>
              </w:rPr>
              <w:t>APP</w:t>
            </w:r>
            <w:r>
              <w:rPr>
                <w:rFonts w:hint="eastAsia" w:ascii="宋体" w:hAnsi="宋体" w:cs="宋体"/>
                <w:color w:val="000000"/>
                <w:kern w:val="0"/>
                <w:szCs w:val="21"/>
              </w:rPr>
              <w:t>”发展新业态，创新物业服务模式</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每个项目</w:t>
            </w:r>
            <w:r>
              <w:rPr>
                <w:color w:val="000000"/>
                <w:kern w:val="0"/>
                <w:szCs w:val="21"/>
              </w:rPr>
              <w:t>1</w:t>
            </w:r>
            <w:r>
              <w:rPr>
                <w:rFonts w:hint="eastAsia" w:ascii="宋体" w:hAnsi="宋体" w:cs="宋体"/>
                <w:color w:val="000000"/>
                <w:kern w:val="0"/>
                <w:szCs w:val="21"/>
              </w:rPr>
              <w:t>分，可累计。</w:t>
            </w:r>
          </w:p>
        </w:tc>
        <w:tc>
          <w:tcPr>
            <w:tcW w:w="1546"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最高加分不超过5分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blHeader/>
        </w:trPr>
        <w:tc>
          <w:tcPr>
            <w:tcW w:w="1425" w:type="dxa"/>
            <w:vMerge w:val="restart"/>
            <w:shd w:val="clear" w:color="auto" w:fill="auto"/>
            <w:vAlign w:val="center"/>
          </w:tcPr>
          <w:p>
            <w:pPr>
              <w:widowControl/>
              <w:jc w:val="center"/>
              <w:rPr>
                <w:rFonts w:hint="eastAsia" w:ascii="黑体" w:hAnsi="黑体" w:eastAsia="黑体" w:cs="宋体"/>
                <w:kern w:val="0"/>
                <w:sz w:val="22"/>
                <w:szCs w:val="22"/>
              </w:rPr>
            </w:pPr>
            <w:r>
              <w:rPr>
                <w:rFonts w:hint="eastAsia" w:ascii="黑体" w:hAnsi="黑体" w:eastAsia="黑体" w:cs="宋体"/>
                <w:kern w:val="0"/>
                <w:sz w:val="22"/>
                <w:szCs w:val="22"/>
              </w:rPr>
              <w:t>一票否决</w:t>
            </w: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HDWYXY033</w:t>
            </w:r>
          </w:p>
        </w:tc>
        <w:tc>
          <w:tcPr>
            <w:tcW w:w="1861"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信访投诉</w:t>
            </w:r>
          </w:p>
        </w:tc>
        <w:tc>
          <w:tcPr>
            <w:tcW w:w="5625" w:type="dxa"/>
            <w:gridSpan w:val="2"/>
            <w:shd w:val="clear" w:color="auto" w:fill="auto"/>
            <w:vAlign w:val="top"/>
          </w:tcPr>
          <w:p>
            <w:pPr>
              <w:widowControl/>
              <w:rPr>
                <w:rFonts w:hint="eastAsia" w:ascii="宋体" w:hAnsi="宋体" w:cs="宋体"/>
                <w:color w:val="000000"/>
                <w:kern w:val="0"/>
                <w:szCs w:val="21"/>
              </w:rPr>
            </w:pPr>
            <w:r>
              <w:rPr>
                <w:rFonts w:hint="eastAsia" w:ascii="宋体" w:hAnsi="宋体" w:cs="宋体"/>
                <w:color w:val="000000"/>
                <w:kern w:val="0"/>
                <w:szCs w:val="21"/>
              </w:rPr>
              <w:t>因物业服务企业责任引发重大群体上访或越级上访事件，影响社会稳定，造成严重不良后果的</w:t>
            </w:r>
          </w:p>
        </w:tc>
        <w:tc>
          <w:tcPr>
            <w:tcW w:w="2399" w:type="dxa"/>
            <w:vMerge w:val="restar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不计分</w:t>
            </w:r>
          </w:p>
        </w:tc>
        <w:tc>
          <w:tcPr>
            <w:tcW w:w="1546" w:type="dxa"/>
            <w:vMerge w:val="restar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直接评定为C级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blHeader/>
        </w:trPr>
        <w:tc>
          <w:tcPr>
            <w:tcW w:w="1425" w:type="dxa"/>
            <w:vMerge w:val="continue"/>
            <w:shd w:val="clear" w:color="auto" w:fill="auto"/>
            <w:vAlign w:val="center"/>
          </w:tcPr>
          <w:p>
            <w:pPr>
              <w:widowControl/>
              <w:jc w:val="left"/>
              <w:rPr>
                <w:rFonts w:ascii="黑体" w:hAnsi="黑体" w:eastAsia="黑体" w:cs="宋体"/>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HDWYXY034</w:t>
            </w:r>
          </w:p>
        </w:tc>
        <w:tc>
          <w:tcPr>
            <w:tcW w:w="1861" w:type="dxa"/>
            <w:vMerge w:val="restar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违法违规行为</w:t>
            </w: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经行政机关确认因物业服务企业主要责任或全部责任发生的重大安全事故的</w:t>
            </w:r>
          </w:p>
        </w:tc>
        <w:tc>
          <w:tcPr>
            <w:tcW w:w="2399" w:type="dxa"/>
            <w:vMerge w:val="continue"/>
            <w:vAlign w:val="center"/>
          </w:tcPr>
          <w:p>
            <w:pPr>
              <w:widowControl/>
              <w:jc w:val="left"/>
              <w:rPr>
                <w:rFonts w:ascii="宋体" w:hAnsi="宋体" w:cs="宋体"/>
                <w:kern w:val="0"/>
                <w:szCs w:val="21"/>
              </w:rPr>
            </w:pPr>
          </w:p>
        </w:tc>
        <w:tc>
          <w:tcPr>
            <w:tcW w:w="1546"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HDWYXY035</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因企业责任被媒体公开曝光在社会上造成恶劣影响的</w:t>
            </w:r>
          </w:p>
        </w:tc>
        <w:tc>
          <w:tcPr>
            <w:tcW w:w="2399" w:type="dxa"/>
            <w:vMerge w:val="continue"/>
            <w:vAlign w:val="center"/>
          </w:tcPr>
          <w:p>
            <w:pPr>
              <w:widowControl/>
              <w:jc w:val="left"/>
              <w:rPr>
                <w:rFonts w:ascii="宋体" w:hAnsi="宋体" w:cs="宋体"/>
                <w:kern w:val="0"/>
                <w:szCs w:val="21"/>
              </w:rPr>
            </w:pPr>
          </w:p>
        </w:tc>
        <w:tc>
          <w:tcPr>
            <w:tcW w:w="1546"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blHeader/>
        </w:trPr>
        <w:tc>
          <w:tcPr>
            <w:tcW w:w="1425" w:type="dxa"/>
            <w:vMerge w:val="continue"/>
            <w:shd w:val="clear" w:color="auto" w:fill="auto"/>
            <w:vAlign w:val="center"/>
          </w:tcPr>
          <w:p>
            <w:pPr>
              <w:widowControl/>
              <w:jc w:val="left"/>
              <w:rPr>
                <w:rFonts w:ascii="黑体" w:hAnsi="黑体" w:eastAsia="黑体" w:cs="宋体"/>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HDWYXY036</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挪用住宅专项维修资金，情节严重的</w:t>
            </w:r>
            <w:r>
              <w:rPr>
                <w:color w:val="000000"/>
                <w:kern w:val="0"/>
                <w:szCs w:val="21"/>
              </w:rPr>
              <w:t> </w:t>
            </w:r>
            <w:r>
              <w:rPr>
                <w:color w:val="000000"/>
                <w:kern w:val="0"/>
                <w:sz w:val="18"/>
                <w:szCs w:val="18"/>
              </w:rPr>
              <w:t> </w:t>
            </w:r>
          </w:p>
        </w:tc>
        <w:tc>
          <w:tcPr>
            <w:tcW w:w="2399" w:type="dxa"/>
            <w:vMerge w:val="continue"/>
            <w:vAlign w:val="center"/>
          </w:tcPr>
          <w:p>
            <w:pPr>
              <w:widowControl/>
              <w:jc w:val="left"/>
              <w:rPr>
                <w:rFonts w:ascii="宋体" w:hAnsi="宋体" w:cs="宋体"/>
                <w:kern w:val="0"/>
                <w:szCs w:val="21"/>
              </w:rPr>
            </w:pPr>
          </w:p>
        </w:tc>
        <w:tc>
          <w:tcPr>
            <w:tcW w:w="1546"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blHeader/>
        </w:trPr>
        <w:tc>
          <w:tcPr>
            <w:tcW w:w="1425" w:type="dxa"/>
            <w:vMerge w:val="continue"/>
            <w:shd w:val="clear" w:color="auto" w:fill="auto"/>
            <w:vAlign w:val="center"/>
          </w:tcPr>
          <w:p>
            <w:pPr>
              <w:widowControl/>
              <w:jc w:val="left"/>
              <w:rPr>
                <w:rFonts w:ascii="黑体" w:hAnsi="黑体" w:eastAsia="黑体" w:cs="宋体"/>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HDWYXY037</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被各级物业管理行政主管部门公开通报后拒不整改，或者一年内累计被公开通报三次（含三次）以上的</w:t>
            </w:r>
          </w:p>
        </w:tc>
        <w:tc>
          <w:tcPr>
            <w:tcW w:w="2399" w:type="dxa"/>
            <w:vMerge w:val="continue"/>
            <w:vAlign w:val="center"/>
          </w:tcPr>
          <w:p>
            <w:pPr>
              <w:widowControl/>
              <w:jc w:val="left"/>
              <w:rPr>
                <w:rFonts w:ascii="宋体" w:hAnsi="宋体" w:cs="宋体"/>
                <w:kern w:val="0"/>
                <w:szCs w:val="21"/>
              </w:rPr>
            </w:pPr>
          </w:p>
        </w:tc>
        <w:tc>
          <w:tcPr>
            <w:tcW w:w="1546"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HDWYXY038</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top"/>
          </w:tcPr>
          <w:p>
            <w:pPr>
              <w:widowControl/>
              <w:rPr>
                <w:rFonts w:hint="eastAsia" w:ascii="宋体" w:hAnsi="宋体" w:cs="宋体"/>
                <w:color w:val="000000"/>
                <w:kern w:val="0"/>
                <w:szCs w:val="21"/>
              </w:rPr>
            </w:pPr>
            <w:r>
              <w:rPr>
                <w:rFonts w:hint="eastAsia" w:ascii="宋体" w:hAnsi="宋体" w:cs="宋体"/>
                <w:color w:val="000000"/>
                <w:kern w:val="0"/>
                <w:szCs w:val="21"/>
              </w:rPr>
              <w:t>违反行规行约，被物业管理协会公开通报后拒不整改，或者一年内累计被公开通报三次（含三次）以上的</w:t>
            </w:r>
          </w:p>
        </w:tc>
        <w:tc>
          <w:tcPr>
            <w:tcW w:w="2399" w:type="dxa"/>
            <w:vMerge w:val="continue"/>
            <w:vAlign w:val="center"/>
          </w:tcPr>
          <w:p>
            <w:pPr>
              <w:widowControl/>
              <w:jc w:val="left"/>
              <w:rPr>
                <w:rFonts w:ascii="宋体" w:hAnsi="宋体" w:cs="宋体"/>
                <w:kern w:val="0"/>
                <w:szCs w:val="21"/>
              </w:rPr>
            </w:pPr>
          </w:p>
        </w:tc>
        <w:tc>
          <w:tcPr>
            <w:tcW w:w="1546"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0" w:hRule="atLeast"/>
          <w:tblHeader/>
        </w:trPr>
        <w:tc>
          <w:tcPr>
            <w:tcW w:w="1425" w:type="dxa"/>
            <w:vMerge w:val="continue"/>
            <w:shd w:val="clear" w:color="auto" w:fill="auto"/>
            <w:vAlign w:val="center"/>
          </w:tcPr>
          <w:p>
            <w:pPr>
              <w:widowControl/>
              <w:jc w:val="left"/>
              <w:rPr>
                <w:rFonts w:ascii="黑体" w:hAnsi="黑体" w:eastAsia="黑体" w:cs="宋体"/>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HDWYXY039</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拒不在经营场所或项目办公场所公示信用等级证明、拒不参加或者逾期未参加企业信用评价，拒不上报或者逾期未上报信用信息的</w:t>
            </w:r>
          </w:p>
        </w:tc>
        <w:tc>
          <w:tcPr>
            <w:tcW w:w="2399" w:type="dxa"/>
            <w:vMerge w:val="continue"/>
            <w:vAlign w:val="center"/>
          </w:tcPr>
          <w:p>
            <w:pPr>
              <w:widowControl/>
              <w:jc w:val="left"/>
              <w:rPr>
                <w:rFonts w:ascii="宋体" w:hAnsi="宋体" w:cs="宋体"/>
                <w:kern w:val="0"/>
                <w:szCs w:val="21"/>
              </w:rPr>
            </w:pPr>
          </w:p>
        </w:tc>
        <w:tc>
          <w:tcPr>
            <w:tcW w:w="1546"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blHeader/>
        </w:trPr>
        <w:tc>
          <w:tcPr>
            <w:tcW w:w="1425" w:type="dxa"/>
            <w:vMerge w:val="continue"/>
            <w:shd w:val="clear" w:color="auto" w:fill="auto"/>
            <w:vAlign w:val="center"/>
          </w:tcPr>
          <w:p>
            <w:pPr>
              <w:widowControl/>
              <w:jc w:val="left"/>
              <w:rPr>
                <w:rFonts w:ascii="黑体" w:hAnsi="黑体" w:eastAsia="黑体" w:cs="宋体"/>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HDWYXY040</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消防、电梯、监控等设施、器材损坏严重，不能保持完好有效、严重影响正常使用功能的</w:t>
            </w:r>
          </w:p>
        </w:tc>
        <w:tc>
          <w:tcPr>
            <w:tcW w:w="2399" w:type="dxa"/>
            <w:vMerge w:val="continue"/>
            <w:vAlign w:val="center"/>
          </w:tcPr>
          <w:p>
            <w:pPr>
              <w:widowControl/>
              <w:jc w:val="left"/>
              <w:rPr>
                <w:rFonts w:ascii="宋体" w:hAnsi="宋体" w:cs="宋体"/>
                <w:kern w:val="0"/>
                <w:szCs w:val="21"/>
              </w:rPr>
            </w:pPr>
          </w:p>
        </w:tc>
        <w:tc>
          <w:tcPr>
            <w:tcW w:w="1546"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HDWYXY041</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gridSpan w:val="2"/>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经物业管理行政主管部门认定的其他严重不良行为</w:t>
            </w:r>
          </w:p>
        </w:tc>
        <w:tc>
          <w:tcPr>
            <w:tcW w:w="2399" w:type="dxa"/>
            <w:vMerge w:val="continue"/>
            <w:vAlign w:val="center"/>
          </w:tcPr>
          <w:p>
            <w:pPr>
              <w:widowControl/>
              <w:jc w:val="left"/>
              <w:rPr>
                <w:rFonts w:ascii="宋体" w:hAnsi="宋体" w:cs="宋体"/>
                <w:kern w:val="0"/>
                <w:szCs w:val="21"/>
              </w:rPr>
            </w:pPr>
          </w:p>
        </w:tc>
        <w:tc>
          <w:tcPr>
            <w:tcW w:w="1546"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blHeader/>
        </w:trPr>
        <w:tc>
          <w:tcPr>
            <w:tcW w:w="1425" w:type="dxa"/>
            <w:vMerge w:val="restart"/>
            <w:shd w:val="clear" w:color="auto" w:fill="auto"/>
            <w:vAlign w:val="center"/>
          </w:tcPr>
          <w:p>
            <w:pPr>
              <w:widowControl/>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不良信用</w:t>
            </w:r>
            <w:r>
              <w:rPr>
                <w:rFonts w:hint="eastAsia" w:ascii="黑体" w:hAnsi="黑体" w:eastAsia="黑体" w:cs="宋体"/>
                <w:color w:val="000000"/>
                <w:kern w:val="0"/>
                <w:sz w:val="22"/>
                <w:szCs w:val="22"/>
              </w:rPr>
              <w:br w:type="textWrapping"/>
            </w:r>
            <w:r>
              <w:rPr>
                <w:rFonts w:hint="eastAsia" w:ascii="黑体" w:hAnsi="黑体" w:eastAsia="黑体" w:cs="宋体"/>
                <w:color w:val="000000"/>
                <w:kern w:val="0"/>
                <w:sz w:val="22"/>
                <w:szCs w:val="22"/>
              </w:rPr>
              <w:t>信息减分</w:t>
            </w: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HDWYXY042</w:t>
            </w:r>
          </w:p>
        </w:tc>
        <w:tc>
          <w:tcPr>
            <w:tcW w:w="1861"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信访投诉</w:t>
            </w:r>
          </w:p>
        </w:tc>
        <w:tc>
          <w:tcPr>
            <w:tcW w:w="5625"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因物业服务企业原因造成</w:t>
            </w:r>
            <w:r>
              <w:rPr>
                <w:color w:val="000000"/>
                <w:kern w:val="0"/>
                <w:szCs w:val="21"/>
              </w:rPr>
              <w:t>5</w:t>
            </w:r>
            <w:r>
              <w:rPr>
                <w:rFonts w:hint="eastAsia" w:ascii="宋体" w:hAnsi="宋体" w:cs="宋体"/>
                <w:color w:val="000000"/>
                <w:kern w:val="0"/>
                <w:szCs w:val="21"/>
              </w:rPr>
              <w:t>人以上集体上访</w:t>
            </w:r>
          </w:p>
        </w:tc>
        <w:tc>
          <w:tcPr>
            <w:tcW w:w="2399" w:type="dxa"/>
            <w:shd w:val="clear" w:color="auto" w:fill="auto"/>
            <w:vAlign w:val="top"/>
          </w:tcPr>
          <w:p>
            <w:pPr>
              <w:widowControl/>
              <w:jc w:val="left"/>
              <w:rPr>
                <w:rFonts w:hint="eastAsia"/>
                <w:color w:val="000000"/>
                <w:kern w:val="0"/>
                <w:szCs w:val="21"/>
              </w:rPr>
            </w:pPr>
            <w:r>
              <w:rPr>
                <w:color w:val="000000"/>
                <w:kern w:val="0"/>
                <w:szCs w:val="21"/>
              </w:rPr>
              <w:t>-3/</w:t>
            </w:r>
            <w:r>
              <w:rPr>
                <w:rFonts w:hint="eastAsia" w:ascii="宋体" w:hAnsi="宋体"/>
                <w:color w:val="000000"/>
                <w:kern w:val="0"/>
                <w:szCs w:val="21"/>
              </w:rPr>
              <w:t>件；到省委、省政府集体上访的</w:t>
            </w:r>
            <w:r>
              <w:rPr>
                <w:color w:val="000000"/>
                <w:kern w:val="0"/>
                <w:szCs w:val="21"/>
              </w:rPr>
              <w:t>-5/</w:t>
            </w:r>
            <w:r>
              <w:rPr>
                <w:rFonts w:hint="eastAsia" w:ascii="宋体" w:hAnsi="宋体"/>
                <w:color w:val="000000"/>
                <w:kern w:val="0"/>
                <w:szCs w:val="21"/>
              </w:rPr>
              <w:t>件；</w:t>
            </w:r>
          </w:p>
        </w:tc>
        <w:tc>
          <w:tcPr>
            <w:tcW w:w="1546"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同一事件</w:t>
            </w:r>
            <w:r>
              <w:rPr>
                <w:rFonts w:hint="eastAsia" w:ascii="宋体" w:hAnsi="宋体" w:cs="宋体"/>
                <w:color w:val="000000"/>
                <w:kern w:val="0"/>
                <w:szCs w:val="21"/>
              </w:rPr>
              <w:br w:type="textWrapping"/>
            </w:r>
            <w:r>
              <w:rPr>
                <w:rFonts w:hint="eastAsia" w:ascii="宋体" w:hAnsi="宋体" w:cs="宋体"/>
                <w:color w:val="000000"/>
                <w:kern w:val="0"/>
                <w:szCs w:val="21"/>
              </w:rPr>
              <w:t>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HDWYXY043</w:t>
            </w:r>
          </w:p>
        </w:tc>
        <w:tc>
          <w:tcPr>
            <w:tcW w:w="1861" w:type="dxa"/>
            <w:vMerge w:val="restart"/>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违法违规行为</w:t>
            </w:r>
          </w:p>
        </w:tc>
        <w:tc>
          <w:tcPr>
            <w:tcW w:w="5625"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多人有效投诉</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-1/</w:t>
            </w:r>
            <w:r>
              <w:rPr>
                <w:rFonts w:hint="eastAsia" w:ascii="宋体" w:hAnsi="宋体"/>
                <w:color w:val="000000"/>
                <w:kern w:val="0"/>
                <w:szCs w:val="21"/>
              </w:rPr>
              <w:t>件</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HDWYXY044</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不及时处理投诉</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-1/5</w:t>
            </w:r>
            <w:r>
              <w:rPr>
                <w:rFonts w:hint="eastAsia" w:ascii="宋体" w:hAnsi="宋体"/>
                <w:color w:val="000000"/>
                <w:kern w:val="0"/>
                <w:szCs w:val="21"/>
              </w:rPr>
              <w:t>天</w:t>
            </w:r>
          </w:p>
        </w:tc>
        <w:tc>
          <w:tcPr>
            <w:tcW w:w="1546"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累次积分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HDWYXY045</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未及时更新基本信用信息的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-2</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HDWYXY046</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擅自改变物业服务用房用途的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HDWYXY047</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擅自利用物业共用部位、共用设施设备进行经营的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HDWYXY048</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擅自占用挖掘物业管理区域内道路场地损害业主共同利益的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HDWYXY049</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擅自改变物业管理区域内按照规划建设的公共建筑和共用设施用途的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HDWYXY050</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未能履行（前期）物业服务合同所约定的服务标准，减少物业服务内容、降低物业服务质量和标准的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HDWYXY051</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未按规定履行物业承接查验义务的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HDWYXY052</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未按规定办理（前期）物业服务合同备案手续的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HDWYXY053</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未依法经业主大会同意，擅自调整收费标准或物业服务费预收期限超过12个月 以上的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546" w:type="dxa"/>
            <w:vMerge w:val="continue"/>
            <w:vAlign w:val="center"/>
          </w:tcPr>
          <w:p>
            <w:pPr>
              <w:widowControl/>
              <w:jc w:val="left"/>
              <w:rPr>
                <w:rFonts w:ascii="宋体" w:hAnsi="宋体" w:cs="宋体"/>
                <w:color w:val="000000"/>
                <w:kern w:val="0"/>
                <w:szCs w:val="21"/>
              </w:rPr>
            </w:pPr>
          </w:p>
        </w:tc>
      </w:tr>
    </w:tbl>
    <w:p>
      <w:r>
        <w:br w:type="page"/>
      </w:r>
    </w:p>
    <w:tbl>
      <w:tblPr>
        <w:tblStyle w:val="6"/>
        <w:tblW w:w="144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624"/>
        <w:gridCol w:w="1861"/>
        <w:gridCol w:w="5625"/>
        <w:gridCol w:w="239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blHeader/>
        </w:trPr>
        <w:tc>
          <w:tcPr>
            <w:tcW w:w="1425" w:type="dxa"/>
            <w:vMerge w:val="restart"/>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HDWYXY054</w:t>
            </w:r>
          </w:p>
        </w:tc>
        <w:tc>
          <w:tcPr>
            <w:tcW w:w="1861" w:type="dxa"/>
            <w:vMerge w:val="restart"/>
            <w:shd w:val="clear" w:color="auto" w:fill="auto"/>
            <w:vAlign w:val="center"/>
          </w:tcPr>
          <w:p>
            <w:pPr>
              <w:widowControl/>
              <w:jc w:val="left"/>
              <w:rPr>
                <w:rFonts w:ascii="宋体" w:hAnsi="宋体" w:cs="宋体"/>
                <w:color w:val="000000"/>
                <w:kern w:val="0"/>
                <w:szCs w:val="21"/>
              </w:rPr>
            </w:pPr>
          </w:p>
        </w:tc>
        <w:tc>
          <w:tcPr>
            <w:tcW w:w="5625" w:type="dxa"/>
            <w:tcBorders>
              <w:bottom w:val="single" w:color="auto" w:sz="4" w:space="0"/>
            </w:tcBorders>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对业主或者使用人的违法行为未予以劝阻、制止或者未及时报告有关行政管理部门的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546" w:type="dxa"/>
            <w:vMerge w:val="restart"/>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HDWYXY055</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企业项目经理未取得行业协会颁发的物业管理项目经理培训合格证书或者不参加行业协会组织的继续教育的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restart"/>
            <w:shd w:val="clear" w:color="auto" w:fill="auto"/>
            <w:vAlign w:val="center"/>
          </w:tcPr>
          <w:p>
            <w:pPr>
              <w:widowControl/>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不良信用</w:t>
            </w:r>
            <w:r>
              <w:rPr>
                <w:rFonts w:hint="eastAsia" w:ascii="黑体" w:hAnsi="黑体" w:eastAsia="黑体" w:cs="宋体"/>
                <w:color w:val="000000"/>
                <w:kern w:val="0"/>
                <w:sz w:val="22"/>
                <w:szCs w:val="22"/>
              </w:rPr>
              <w:br w:type="textWrapping"/>
            </w:r>
            <w:r>
              <w:rPr>
                <w:rFonts w:hint="eastAsia" w:ascii="黑体" w:hAnsi="黑体" w:eastAsia="黑体" w:cs="宋体"/>
                <w:color w:val="000000"/>
                <w:kern w:val="0"/>
                <w:sz w:val="22"/>
                <w:szCs w:val="22"/>
              </w:rPr>
              <w:t>信息减分</w:t>
            </w: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HDWYXY056</w:t>
            </w:r>
          </w:p>
        </w:tc>
        <w:tc>
          <w:tcPr>
            <w:tcW w:w="1861" w:type="dxa"/>
            <w:vMerge w:val="restar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违法违规行为</w:t>
            </w: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未按规定在物业管理区域内的显著位置公示服务内容、服务标准、收费项目、计费方式的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546" w:type="dxa"/>
            <w:vMerge w:val="restart"/>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累次积分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HDWYXY057</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利用共用部位、共用设施设备经营收益未按规定单独建账并定期公布收支情况的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HDWYXY058</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跨县（市、区）异地承揽物业管理项目，未在项目所在物业管理行政主管部门备案的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HDWYXY059</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违反规定设立不正当收费项目，扩大收费范围，提高收费标准、重复收费的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HDWYXY060</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未依法依约履行物业公共秩序维护义务，导致群发性失窃事件、消防事故、治安事故等发生，致使业主人身、财产安全受到损害的</w:t>
            </w:r>
            <w:r>
              <w:rPr>
                <w:color w:val="000000"/>
                <w:kern w:val="0"/>
                <w:szCs w:val="21"/>
              </w:rPr>
              <w:t> </w:t>
            </w:r>
            <w:r>
              <w:rPr>
                <w:color w:val="000000"/>
                <w:kern w:val="0"/>
                <w:sz w:val="18"/>
                <w:szCs w:val="18"/>
              </w:rPr>
              <w:t> </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-6</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HDWYXY061</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物业服务合同终止时，物业服务企业不移交物业服务用房和有关资料</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-4</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HDWYXY062</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未办理退出交接手续，擅自撤离物业管理区域、停止物业服务的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-4</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HDWYXY063</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被解聘的物业服务企业拒不退出物业管理区域的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-4</w:t>
            </w:r>
          </w:p>
        </w:tc>
        <w:tc>
          <w:tcPr>
            <w:tcW w:w="1546" w:type="dxa"/>
            <w:vMerge w:val="continue"/>
            <w:vAlign w:val="center"/>
          </w:tcPr>
          <w:p>
            <w:pPr>
              <w:widowControl/>
              <w:jc w:val="left"/>
              <w:rPr>
                <w:rFonts w:ascii="宋体" w:hAnsi="宋体" w:cs="宋体"/>
                <w:color w:val="000000"/>
                <w:kern w:val="0"/>
                <w:szCs w:val="21"/>
              </w:rPr>
            </w:pPr>
          </w:p>
        </w:tc>
      </w:tr>
    </w:tbl>
    <w:p>
      <w:r>
        <w:br w:type="page"/>
      </w:r>
    </w:p>
    <w:tbl>
      <w:tblPr>
        <w:tblStyle w:val="6"/>
        <w:tblW w:w="144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624"/>
        <w:gridCol w:w="1861"/>
        <w:gridCol w:w="5625"/>
        <w:gridCol w:w="239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blHeader/>
        </w:trPr>
        <w:tc>
          <w:tcPr>
            <w:tcW w:w="1425" w:type="dxa"/>
            <w:vMerge w:val="restart"/>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HDWYXY064</w:t>
            </w:r>
          </w:p>
        </w:tc>
        <w:tc>
          <w:tcPr>
            <w:tcW w:w="1861" w:type="dxa"/>
            <w:vMerge w:val="restart"/>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管理服务规章不健全，未制定安全防范应急预案或虽建立预案但未进行定期演练和落实的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-3</w:t>
            </w:r>
          </w:p>
        </w:tc>
        <w:tc>
          <w:tcPr>
            <w:tcW w:w="1546" w:type="dxa"/>
            <w:vMerge w:val="restart"/>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HDWYXY065</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采取中断供水、供电、供气、供热等方式限制或者变相限制专业服务的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w:t>
            </w:r>
            <w:r>
              <w:rPr>
                <w:rFonts w:hint="eastAsia" w:ascii="宋体" w:hAnsi="宋体"/>
                <w:color w:val="000000"/>
                <w:kern w:val="0"/>
                <w:szCs w:val="21"/>
              </w:rPr>
              <w:t>1</w:t>
            </w:r>
            <w:r>
              <w:rPr>
                <w:color w:val="000000"/>
                <w:kern w:val="0"/>
                <w:szCs w:val="21"/>
              </w:rPr>
              <w:t>/</w:t>
            </w:r>
            <w:r>
              <w:rPr>
                <w:rFonts w:hint="eastAsia" w:ascii="宋体" w:hAnsi="宋体"/>
                <w:color w:val="000000"/>
                <w:kern w:val="0"/>
                <w:szCs w:val="21"/>
              </w:rPr>
              <w:t>次</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HDWYXY066</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未与业主签订装饰装修管理服务协议，未将装饰装修禁止行为明确告知当事人的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w:t>
            </w:r>
            <w:r>
              <w:rPr>
                <w:rFonts w:hint="eastAsia" w:ascii="宋体" w:hAnsi="宋体"/>
                <w:color w:val="000000"/>
                <w:kern w:val="0"/>
                <w:szCs w:val="21"/>
              </w:rPr>
              <w:t>2</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HDWYXY067</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不巡查装饰装修现场，对其违规行为未劝阻的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restart"/>
            <w:shd w:val="clear" w:color="auto" w:fill="auto"/>
            <w:vAlign w:val="center"/>
          </w:tcPr>
          <w:p>
            <w:pPr>
              <w:widowControl/>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不良信用</w:t>
            </w:r>
            <w:r>
              <w:rPr>
                <w:rFonts w:hint="eastAsia" w:ascii="黑体" w:hAnsi="黑体" w:eastAsia="黑体" w:cs="宋体"/>
                <w:color w:val="000000"/>
                <w:kern w:val="0"/>
                <w:sz w:val="22"/>
                <w:szCs w:val="22"/>
              </w:rPr>
              <w:br w:type="textWrapping"/>
            </w:r>
            <w:r>
              <w:rPr>
                <w:rFonts w:hint="eastAsia" w:ascii="黑体" w:hAnsi="黑体" w:eastAsia="黑体" w:cs="宋体"/>
                <w:color w:val="000000"/>
                <w:kern w:val="0"/>
                <w:sz w:val="22"/>
                <w:szCs w:val="22"/>
              </w:rPr>
              <w:t>信息减分</w:t>
            </w: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HDWYXY068</w:t>
            </w:r>
          </w:p>
        </w:tc>
        <w:tc>
          <w:tcPr>
            <w:tcW w:w="1861" w:type="dxa"/>
            <w:vMerge w:val="restar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违法违规行为</w:t>
            </w: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未按规定建立、保存物业档案和在物业服务活动中形成的技术资料及保养记录的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546" w:type="dxa"/>
            <w:vMerge w:val="restart"/>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累次积分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HDWYXY069</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允许大型车辆、载有易燃、易爆、剧毒、放射性物品和危险化学品的车辆进入住宅小区的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-2</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HDWYXY070</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未委托具有相应资质的专业机构维修和养护电梯、消防等设施设备的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-3 </w:t>
            </w:r>
            <w:r>
              <w:rPr>
                <w:color w:val="000000"/>
                <w:kern w:val="0"/>
                <w:sz w:val="18"/>
                <w:szCs w:val="18"/>
              </w:rPr>
              <w:t> </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HDWYXY071</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电梯运行中因故障引起人员被关时，物业服务企业电梯管理人员或委托的电梯维修专业单位未按合同约定及时赶到现场进行处理的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w:t>
            </w:r>
            <w:r>
              <w:rPr>
                <w:rFonts w:hint="eastAsia" w:ascii="宋体" w:hAnsi="宋体"/>
                <w:color w:val="000000"/>
                <w:kern w:val="0"/>
                <w:szCs w:val="21"/>
              </w:rPr>
              <w:t>4</w:t>
            </w:r>
            <w:r>
              <w:rPr>
                <w:color w:val="000000"/>
                <w:kern w:val="0"/>
                <w:szCs w:val="21"/>
              </w:rPr>
              <w:t>/</w:t>
            </w:r>
            <w:r>
              <w:rPr>
                <w:rFonts w:hint="eastAsia" w:ascii="宋体" w:hAnsi="宋体"/>
                <w:color w:val="000000"/>
                <w:kern w:val="0"/>
                <w:szCs w:val="21"/>
              </w:rPr>
              <w:t>次</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HDWYXY072</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电梯管理人员未取得特种设备作业证书的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HDWYXY073</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未在电梯轿厢内张贴有效的电梯检验标志、安全注意事项、警示标志、使用管理单位名称、维保单位名称及救援电话的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HDWYXY074</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未做好电梯日常管理工作，不能督促检查维保单位做好维护保养工作和维护保养质量的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continue"/>
            <w:vAlign w:val="center"/>
          </w:tcPr>
          <w:p>
            <w:pPr>
              <w:widowControl/>
              <w:jc w:val="left"/>
              <w:rPr>
                <w:rFonts w:ascii="宋体" w:hAnsi="宋体" w:cs="宋体"/>
                <w:color w:val="000000"/>
                <w:kern w:val="0"/>
                <w:szCs w:val="21"/>
              </w:rPr>
            </w:pPr>
          </w:p>
        </w:tc>
      </w:tr>
    </w:tbl>
    <w:p>
      <w:r>
        <w:br w:type="page"/>
      </w:r>
    </w:p>
    <w:tbl>
      <w:tblPr>
        <w:tblStyle w:val="6"/>
        <w:tblW w:w="144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624"/>
        <w:gridCol w:w="1861"/>
        <w:gridCol w:w="5625"/>
        <w:gridCol w:w="239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blHeader/>
        </w:trPr>
        <w:tc>
          <w:tcPr>
            <w:tcW w:w="1425" w:type="dxa"/>
            <w:vMerge w:val="restart"/>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HDWYXY075</w:t>
            </w:r>
          </w:p>
        </w:tc>
        <w:tc>
          <w:tcPr>
            <w:tcW w:w="1861" w:type="dxa"/>
            <w:vMerge w:val="restart"/>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未按规定组织消防宣传、教育、演练和检查的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w:t>
            </w:r>
            <w:r>
              <w:rPr>
                <w:rFonts w:hint="eastAsia" w:ascii="宋体" w:hAnsi="宋体"/>
                <w:color w:val="000000"/>
                <w:kern w:val="0"/>
                <w:szCs w:val="21"/>
              </w:rPr>
              <w:t>4</w:t>
            </w:r>
          </w:p>
        </w:tc>
        <w:tc>
          <w:tcPr>
            <w:tcW w:w="1546" w:type="dxa"/>
            <w:vMerge w:val="restart"/>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HDWYXY076</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消防车通道、疏散通道被占用、堵塞的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w:t>
            </w:r>
            <w:r>
              <w:rPr>
                <w:rFonts w:hint="eastAsia" w:ascii="宋体" w:hAnsi="宋体"/>
                <w:color w:val="000000"/>
                <w:kern w:val="0"/>
                <w:szCs w:val="21"/>
              </w:rPr>
              <w:t>2/次</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HDWYXY077</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消防设施损坏，物业服务企业消防安全管理人员或委托的消防设施维保单位未及时赶到现场进行处理的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w:t>
            </w:r>
            <w:r>
              <w:rPr>
                <w:rFonts w:hint="eastAsia" w:ascii="宋体" w:hAnsi="宋体"/>
                <w:color w:val="000000"/>
                <w:kern w:val="0"/>
                <w:szCs w:val="21"/>
              </w:rPr>
              <w:t>2次</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HDWYXY078</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消防控制室人员未取得职业资格证书的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HDWYXY079</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存在火灾隐患未积极整改，在火灾隐患整改期间未采取防范措施的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w:t>
            </w:r>
            <w:r>
              <w:rPr>
                <w:rFonts w:hint="eastAsia" w:ascii="宋体" w:hAnsi="宋体"/>
                <w:color w:val="000000"/>
                <w:kern w:val="0"/>
                <w:szCs w:val="21"/>
              </w:rPr>
              <w:t>3</w:t>
            </w:r>
            <w:r>
              <w:rPr>
                <w:color w:val="000000"/>
                <w:kern w:val="0"/>
                <w:szCs w:val="21"/>
              </w:rPr>
              <w:t>/</w:t>
            </w:r>
            <w:r>
              <w:rPr>
                <w:rFonts w:hint="eastAsia" w:ascii="宋体" w:hAnsi="宋体"/>
                <w:color w:val="000000"/>
                <w:kern w:val="0"/>
                <w:szCs w:val="21"/>
              </w:rPr>
              <w:t>件</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restart"/>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不良信用</w:t>
            </w:r>
            <w:r>
              <w:rPr>
                <w:rFonts w:hint="eastAsia" w:ascii="黑体" w:hAnsi="黑体" w:eastAsia="黑体" w:cs="宋体"/>
                <w:color w:val="000000"/>
                <w:kern w:val="0"/>
                <w:sz w:val="22"/>
                <w:szCs w:val="22"/>
              </w:rPr>
              <w:br w:type="textWrapping"/>
            </w:r>
            <w:r>
              <w:rPr>
                <w:rFonts w:hint="eastAsia" w:ascii="黑体" w:hAnsi="黑体" w:eastAsia="黑体" w:cs="宋体"/>
                <w:color w:val="000000"/>
                <w:kern w:val="0"/>
                <w:sz w:val="22"/>
                <w:szCs w:val="22"/>
              </w:rPr>
              <w:t>信息减分</w:t>
            </w: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HDWYXY080</w:t>
            </w:r>
          </w:p>
        </w:tc>
        <w:tc>
          <w:tcPr>
            <w:tcW w:w="1861" w:type="dxa"/>
            <w:vMerge w:val="restart"/>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违法违规行为</w:t>
            </w:r>
          </w:p>
        </w:tc>
        <w:tc>
          <w:tcPr>
            <w:tcW w:w="5625"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无人维护停车秩序，车辆乱停乱放现象严重的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w:t>
            </w:r>
            <w:r>
              <w:rPr>
                <w:rFonts w:hint="eastAsia" w:ascii="宋体" w:hAnsi="宋体"/>
                <w:color w:val="000000"/>
                <w:kern w:val="0"/>
                <w:szCs w:val="21"/>
              </w:rPr>
              <w:t>2</w:t>
            </w:r>
          </w:p>
        </w:tc>
        <w:tc>
          <w:tcPr>
            <w:tcW w:w="1546"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累次积分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HDWYXY081</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未按照规定对共用部位和共用设施设备及时养护、修复</w:t>
            </w:r>
            <w:r>
              <w:rPr>
                <w:color w:val="000000"/>
                <w:kern w:val="0"/>
                <w:szCs w:val="21"/>
              </w:rPr>
              <w:t>,</w:t>
            </w:r>
            <w:r>
              <w:rPr>
                <w:rFonts w:hint="eastAsia" w:ascii="宋体" w:hAnsi="宋体" w:cs="宋体"/>
                <w:color w:val="000000"/>
                <w:kern w:val="0"/>
                <w:szCs w:val="21"/>
              </w:rPr>
              <w:t>影响物业正常使用的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-2/</w:t>
            </w:r>
            <w:r>
              <w:rPr>
                <w:rFonts w:hint="eastAsia" w:ascii="宋体" w:hAnsi="宋体"/>
                <w:color w:val="000000"/>
                <w:kern w:val="0"/>
                <w:szCs w:val="21"/>
              </w:rPr>
              <w:t>件</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HDWYXY082</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未建立共用部位和共用设施设备台帐，无运行、检查、维护、保养记录的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w:t>
            </w:r>
            <w:r>
              <w:rPr>
                <w:rFonts w:hint="eastAsia" w:ascii="宋体" w:hAnsi="宋体"/>
                <w:color w:val="000000"/>
                <w:kern w:val="0"/>
                <w:szCs w:val="21"/>
              </w:rPr>
              <w:t>2</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HDWYXY083</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存在安全隐患未积极整改，在容易危及人身安全的位置未设置警示标志和采取防范措施的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w:t>
            </w:r>
            <w:r>
              <w:rPr>
                <w:rFonts w:hint="eastAsia" w:ascii="宋体" w:hAnsi="宋体"/>
                <w:color w:val="000000"/>
                <w:kern w:val="0"/>
                <w:szCs w:val="21"/>
              </w:rPr>
              <w:t>3</w:t>
            </w:r>
            <w:r>
              <w:rPr>
                <w:color w:val="000000"/>
                <w:kern w:val="0"/>
                <w:szCs w:val="21"/>
              </w:rPr>
              <w:t>/</w:t>
            </w:r>
            <w:r>
              <w:rPr>
                <w:rFonts w:hint="eastAsia" w:ascii="宋体" w:hAnsi="宋体"/>
                <w:color w:val="000000"/>
                <w:kern w:val="0"/>
                <w:szCs w:val="21"/>
              </w:rPr>
              <w:t>件</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HDWYXY084</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未按照协议约定及时退还应退还费用的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w:t>
            </w:r>
            <w:r>
              <w:rPr>
                <w:rFonts w:hint="eastAsia" w:ascii="宋体" w:hAnsi="宋体"/>
                <w:color w:val="000000"/>
                <w:kern w:val="0"/>
                <w:szCs w:val="21"/>
              </w:rPr>
              <w:t>1</w:t>
            </w:r>
            <w:r>
              <w:rPr>
                <w:color w:val="000000"/>
                <w:kern w:val="0"/>
                <w:szCs w:val="21"/>
              </w:rPr>
              <w:t>/</w:t>
            </w:r>
            <w:r>
              <w:rPr>
                <w:rFonts w:hint="eastAsia" w:ascii="宋体" w:hAnsi="宋体"/>
                <w:color w:val="000000"/>
                <w:kern w:val="0"/>
                <w:szCs w:val="21"/>
              </w:rPr>
              <w:t>件</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HDWYXY085</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接受委托代收水、电、气、热等费用，向业主收取手续费等额外费用的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w:t>
            </w:r>
            <w:r>
              <w:rPr>
                <w:rFonts w:hint="eastAsia" w:ascii="宋体" w:hAnsi="宋体"/>
                <w:color w:val="000000"/>
                <w:kern w:val="0"/>
                <w:szCs w:val="21"/>
              </w:rPr>
              <w:t>1</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HDWYXY086</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涂改、伪造、骗取、变造、转让、出租、出借信用等级证明的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HDWYXY087</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与物业项目招标人或其它投标人串通，以不正当手段中标的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-3</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HDWYXY088</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将一个物业服务项目的物业服务业务全部委托给他人的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HDWYXY089</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新建商品房项目未依法通过招投标方式接管物业管理项目或者未经批准擅自采用协议方式接管物业管理项目的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HDWYXY090</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以胁迫、欺骗、贿赂等非法手段承揽业务的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HDWYXY091</w:t>
            </w:r>
          </w:p>
        </w:tc>
        <w:tc>
          <w:tcPr>
            <w:tcW w:w="1861" w:type="dxa"/>
            <w:vMerge w:val="continue"/>
            <w:shd w:val="clear" w:color="auto" w:fill="auto"/>
            <w:vAlign w:val="center"/>
          </w:tcPr>
          <w:p>
            <w:pPr>
              <w:widowControl/>
              <w:jc w:val="left"/>
              <w:rPr>
                <w:rFonts w:ascii="宋体" w:hAnsi="宋体" w:cs="宋体"/>
                <w:color w:val="000000"/>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企业法定代表人或经理级、项目经理级因执行企业职务的行为犯罪，被依法追究刑事责任的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restart"/>
            <w:shd w:val="clear" w:color="auto" w:fill="auto"/>
            <w:vAlign w:val="center"/>
          </w:tcPr>
          <w:p>
            <w:pPr>
              <w:widowControl/>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不良信用</w:t>
            </w:r>
            <w:r>
              <w:rPr>
                <w:rFonts w:hint="eastAsia" w:ascii="黑体" w:hAnsi="黑体" w:eastAsia="黑体" w:cs="宋体"/>
                <w:color w:val="000000"/>
                <w:kern w:val="0"/>
                <w:sz w:val="22"/>
                <w:szCs w:val="22"/>
              </w:rPr>
              <w:br w:type="textWrapping"/>
            </w:r>
            <w:r>
              <w:rPr>
                <w:rFonts w:hint="eastAsia" w:ascii="黑体" w:hAnsi="黑体" w:eastAsia="黑体" w:cs="宋体"/>
                <w:color w:val="000000"/>
                <w:kern w:val="0"/>
                <w:sz w:val="22"/>
                <w:szCs w:val="22"/>
              </w:rPr>
              <w:t>信息减分</w:t>
            </w: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HDWYXY092</w:t>
            </w:r>
          </w:p>
        </w:tc>
        <w:tc>
          <w:tcPr>
            <w:tcW w:w="1861" w:type="dxa"/>
            <w:vMerge w:val="restar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违法违规行为</w:t>
            </w: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泄漏、披露、使用自己应当保守业主、使用人的商业秘密或个人隐私的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restart"/>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累次积分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HDWYXY093</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发生安全事故时，未及时向有关行政管理部门报告，未协助做好救助工作的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HDWYXY094</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未制止侵占绿地、违法搭建建（构）筑物等行为的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HDWYXY095</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威胁、恐吓、殴打行政执法人员或者采取其他方式阻碍行政执法人员依法履行职责的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-5/次</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HDWYXY096</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企业受到各级行政部门处罚的（以处罚决定书认定）</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w:t>
            </w:r>
            <w:r>
              <w:rPr>
                <w:rFonts w:hint="eastAsia" w:ascii="宋体" w:hAnsi="宋体"/>
                <w:color w:val="000000"/>
                <w:kern w:val="0"/>
                <w:szCs w:val="21"/>
              </w:rPr>
              <w:t>5</w:t>
            </w:r>
            <w:r>
              <w:rPr>
                <w:color w:val="000000"/>
                <w:kern w:val="0"/>
                <w:szCs w:val="21"/>
              </w:rPr>
              <w:t>/</w:t>
            </w:r>
            <w:r>
              <w:rPr>
                <w:rFonts w:hint="eastAsia" w:ascii="宋体" w:hAnsi="宋体"/>
                <w:color w:val="000000"/>
                <w:kern w:val="0"/>
                <w:szCs w:val="21"/>
              </w:rPr>
              <w:t>件</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HDWYXY097</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企业受到各级行政部门批评通报的（以文件认定）</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w:t>
            </w:r>
            <w:r>
              <w:rPr>
                <w:rFonts w:hint="eastAsia" w:ascii="宋体" w:hAnsi="宋体"/>
                <w:color w:val="000000"/>
                <w:kern w:val="0"/>
                <w:szCs w:val="21"/>
              </w:rPr>
              <w:t>4</w:t>
            </w:r>
            <w:r>
              <w:rPr>
                <w:color w:val="000000"/>
                <w:kern w:val="0"/>
                <w:szCs w:val="21"/>
              </w:rPr>
              <w:t>/</w:t>
            </w:r>
            <w:r>
              <w:rPr>
                <w:rFonts w:hint="eastAsia" w:ascii="宋体" w:hAnsi="宋体"/>
                <w:color w:val="000000"/>
                <w:kern w:val="0"/>
                <w:szCs w:val="21"/>
              </w:rPr>
              <w:t>件</w:t>
            </w:r>
          </w:p>
        </w:tc>
        <w:tc>
          <w:tcPr>
            <w:tcW w:w="1546" w:type="dxa"/>
            <w:vMerge w:val="continue"/>
            <w:vAlign w:val="center"/>
          </w:tcPr>
          <w:p>
            <w:pPr>
              <w:widowControl/>
              <w:jc w:val="left"/>
              <w:rPr>
                <w:rFonts w:ascii="宋体" w:hAnsi="宋体" w:cs="宋体"/>
                <w:color w:val="000000"/>
                <w:kern w:val="0"/>
                <w:szCs w:val="21"/>
              </w:rPr>
            </w:pPr>
          </w:p>
        </w:tc>
      </w:tr>
    </w:tbl>
    <w:p>
      <w:r>
        <w:br w:type="page"/>
      </w:r>
    </w:p>
    <w:tbl>
      <w:tblPr>
        <w:tblStyle w:val="6"/>
        <w:tblW w:w="144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624"/>
        <w:gridCol w:w="1861"/>
        <w:gridCol w:w="5625"/>
        <w:gridCol w:w="239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restart"/>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HDWYXY098</w:t>
            </w:r>
          </w:p>
        </w:tc>
        <w:tc>
          <w:tcPr>
            <w:tcW w:w="1861" w:type="dxa"/>
            <w:vMerge w:val="restart"/>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拒不执行、拖延执行各级行政部门作出的生效处罚或责令限期整改决定的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拒不执行的，</w:t>
            </w:r>
            <w:r>
              <w:rPr>
                <w:color w:val="000000"/>
                <w:kern w:val="0"/>
                <w:szCs w:val="21"/>
              </w:rPr>
              <w:t>-10/</w:t>
            </w:r>
            <w:r>
              <w:rPr>
                <w:rFonts w:hint="eastAsia" w:ascii="宋体" w:hAnsi="宋体" w:cs="宋体"/>
                <w:color w:val="000000"/>
                <w:kern w:val="0"/>
                <w:szCs w:val="21"/>
              </w:rPr>
              <w:t>件；拖延执行的，</w:t>
            </w:r>
            <w:r>
              <w:rPr>
                <w:color w:val="000000"/>
                <w:kern w:val="0"/>
                <w:szCs w:val="21"/>
              </w:rPr>
              <w:t>-2/</w:t>
            </w:r>
            <w:r>
              <w:rPr>
                <w:rFonts w:hint="eastAsia" w:ascii="宋体" w:hAnsi="宋体" w:cs="宋体"/>
                <w:color w:val="000000"/>
                <w:kern w:val="0"/>
                <w:szCs w:val="21"/>
              </w:rPr>
              <w:t>件</w:t>
            </w:r>
            <w:r>
              <w:rPr>
                <w:color w:val="000000"/>
                <w:kern w:val="0"/>
                <w:szCs w:val="21"/>
              </w:rPr>
              <w:t>•</w:t>
            </w:r>
            <w:r>
              <w:rPr>
                <w:rFonts w:hint="eastAsia" w:ascii="宋体" w:hAnsi="宋体" w:cs="宋体"/>
                <w:color w:val="000000"/>
                <w:kern w:val="0"/>
                <w:szCs w:val="21"/>
              </w:rPr>
              <w:t>月</w:t>
            </w:r>
          </w:p>
        </w:tc>
        <w:tc>
          <w:tcPr>
            <w:tcW w:w="1546" w:type="dxa"/>
            <w:vMerge w:val="restart"/>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HDWYXY099</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拒不执行、拖延执行法院或劳动仲裁机构的生效判决或裁定的</w:t>
            </w:r>
          </w:p>
        </w:tc>
        <w:tc>
          <w:tcPr>
            <w:tcW w:w="2399"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拒不执行的，</w:t>
            </w:r>
            <w:r>
              <w:rPr>
                <w:color w:val="000000"/>
                <w:kern w:val="0"/>
                <w:szCs w:val="21"/>
              </w:rPr>
              <w:t>-10/</w:t>
            </w:r>
            <w:r>
              <w:rPr>
                <w:rFonts w:hint="eastAsia" w:ascii="宋体" w:hAnsi="宋体" w:cs="宋体"/>
                <w:color w:val="000000"/>
                <w:kern w:val="0"/>
                <w:szCs w:val="21"/>
              </w:rPr>
              <w:t>件；拖延执行的，</w:t>
            </w:r>
            <w:r>
              <w:rPr>
                <w:color w:val="000000"/>
                <w:kern w:val="0"/>
                <w:szCs w:val="21"/>
              </w:rPr>
              <w:t>-2/</w:t>
            </w:r>
            <w:r>
              <w:rPr>
                <w:rFonts w:hint="eastAsia" w:ascii="宋体" w:hAnsi="宋体" w:cs="宋体"/>
                <w:color w:val="000000"/>
                <w:kern w:val="0"/>
                <w:szCs w:val="21"/>
              </w:rPr>
              <w:t>件</w:t>
            </w:r>
            <w:r>
              <w:rPr>
                <w:color w:val="000000"/>
                <w:kern w:val="0"/>
                <w:szCs w:val="21"/>
              </w:rPr>
              <w:t>•</w:t>
            </w:r>
            <w:r>
              <w:rPr>
                <w:rFonts w:hint="eastAsia" w:ascii="宋体" w:hAnsi="宋体" w:cs="宋体"/>
                <w:color w:val="000000"/>
                <w:kern w:val="0"/>
                <w:szCs w:val="21"/>
              </w:rPr>
              <w:t>月</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HDWYXY100</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违规向电信业务经营单位收取电信设施进场费、接入费、使用费等性质类似的相关费用。</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r>
              <w:rPr>
                <w:color w:val="000000"/>
                <w:kern w:val="0"/>
                <w:szCs w:val="21"/>
              </w:rPr>
              <w:t>/</w:t>
            </w:r>
            <w:r>
              <w:rPr>
                <w:rFonts w:hint="eastAsia" w:ascii="宋体" w:hAnsi="宋体" w:cs="宋体"/>
                <w:color w:val="000000"/>
                <w:kern w:val="0"/>
                <w:szCs w:val="21"/>
              </w:rPr>
              <w:t>次</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HDWYXY101</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与业主、物业使用人发生言语、肢体等冲突，引起不良影响的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r>
              <w:rPr>
                <w:color w:val="000000"/>
                <w:kern w:val="0"/>
                <w:szCs w:val="21"/>
              </w:rPr>
              <w:t>/</w:t>
            </w:r>
            <w:r>
              <w:rPr>
                <w:rFonts w:hint="eastAsia" w:ascii="宋体" w:hAnsi="宋体" w:cs="宋体"/>
                <w:color w:val="000000"/>
                <w:kern w:val="0"/>
                <w:szCs w:val="21"/>
              </w:rPr>
              <w:t>次</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HDWYXY102</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其他违法违规行为</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-2/</w:t>
            </w:r>
            <w:r>
              <w:rPr>
                <w:rFonts w:hint="eastAsia" w:ascii="宋体" w:hAnsi="宋体"/>
                <w:color w:val="000000"/>
                <w:kern w:val="0"/>
                <w:szCs w:val="21"/>
              </w:rPr>
              <w:t>件</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HDWYXY103</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对物业管理区域内违反有关消防、治安、环保等方面法律、法规、规章规定的行为，未及时劝阻、制止并向有关行政管理部门报告的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r>
              <w:rPr>
                <w:color w:val="000000"/>
                <w:kern w:val="0"/>
                <w:szCs w:val="21"/>
              </w:rPr>
              <w:t>/</w:t>
            </w:r>
            <w:r>
              <w:rPr>
                <w:rFonts w:hint="eastAsia" w:ascii="宋体" w:hAnsi="宋体" w:cs="宋体"/>
                <w:color w:val="000000"/>
                <w:kern w:val="0"/>
                <w:szCs w:val="21"/>
              </w:rPr>
              <w:t>次</w:t>
            </w:r>
          </w:p>
        </w:tc>
        <w:tc>
          <w:tcPr>
            <w:tcW w:w="1546"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restart"/>
            <w:shd w:val="clear" w:color="auto" w:fill="auto"/>
            <w:vAlign w:val="center"/>
          </w:tcPr>
          <w:p>
            <w:pPr>
              <w:widowControl/>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不良信用</w:t>
            </w:r>
            <w:r>
              <w:rPr>
                <w:rFonts w:hint="eastAsia" w:ascii="黑体" w:hAnsi="黑体" w:eastAsia="黑体" w:cs="宋体"/>
                <w:color w:val="000000"/>
                <w:kern w:val="0"/>
                <w:sz w:val="22"/>
                <w:szCs w:val="22"/>
              </w:rPr>
              <w:br w:type="textWrapping"/>
            </w:r>
            <w:r>
              <w:rPr>
                <w:rFonts w:hint="eastAsia" w:ascii="黑体" w:hAnsi="黑体" w:eastAsia="黑体" w:cs="宋体"/>
                <w:color w:val="000000"/>
                <w:kern w:val="0"/>
                <w:sz w:val="22"/>
                <w:szCs w:val="22"/>
              </w:rPr>
              <w:t>信息减分</w:t>
            </w: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HDWYXY104</w:t>
            </w:r>
          </w:p>
        </w:tc>
        <w:tc>
          <w:tcPr>
            <w:tcW w:w="1861" w:type="dxa"/>
            <w:vMerge w:val="restart"/>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违法违规行为</w:t>
            </w: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不良现象被媒体曝光，或者经政府相关职能部门</w:t>
            </w:r>
          </w:p>
        </w:tc>
        <w:tc>
          <w:tcPr>
            <w:tcW w:w="2399" w:type="dxa"/>
            <w:vMerge w:val="restart"/>
            <w:shd w:val="clear" w:color="auto" w:fill="auto"/>
            <w:vAlign w:val="center"/>
          </w:tcPr>
          <w:p>
            <w:pPr>
              <w:widowControl/>
              <w:jc w:val="center"/>
              <w:rPr>
                <w:rFonts w:hint="eastAsia"/>
                <w:color w:val="000000"/>
                <w:kern w:val="0"/>
                <w:szCs w:val="21"/>
              </w:rPr>
            </w:pPr>
            <w:r>
              <w:rPr>
                <w:color w:val="000000"/>
                <w:kern w:val="0"/>
                <w:szCs w:val="21"/>
              </w:rPr>
              <w:t>-</w:t>
            </w:r>
            <w:r>
              <w:rPr>
                <w:rFonts w:hint="eastAsia" w:ascii="宋体" w:hAnsi="宋体"/>
                <w:color w:val="000000"/>
                <w:kern w:val="0"/>
                <w:szCs w:val="21"/>
              </w:rPr>
              <w:t>2</w:t>
            </w:r>
            <w:r>
              <w:rPr>
                <w:color w:val="000000"/>
                <w:kern w:val="0"/>
                <w:szCs w:val="21"/>
              </w:rPr>
              <w:t>/</w:t>
            </w:r>
            <w:r>
              <w:rPr>
                <w:rFonts w:hint="eastAsia" w:ascii="宋体" w:hAnsi="宋体"/>
                <w:color w:val="000000"/>
                <w:kern w:val="0"/>
                <w:szCs w:val="21"/>
              </w:rPr>
              <w:t>件</w:t>
            </w:r>
          </w:p>
        </w:tc>
        <w:tc>
          <w:tcPr>
            <w:tcW w:w="1546"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累次积分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HDWYXY105</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查证属实的不良行为，逾期未整改的</w:t>
            </w:r>
          </w:p>
        </w:tc>
        <w:tc>
          <w:tcPr>
            <w:tcW w:w="2399" w:type="dxa"/>
            <w:vMerge w:val="continue"/>
            <w:vAlign w:val="center"/>
          </w:tcPr>
          <w:p>
            <w:pPr>
              <w:widowControl/>
              <w:jc w:val="left"/>
              <w:rPr>
                <w:color w:val="000000"/>
                <w:kern w:val="0"/>
                <w:szCs w:val="21"/>
              </w:rPr>
            </w:pPr>
          </w:p>
        </w:tc>
        <w:tc>
          <w:tcPr>
            <w:tcW w:w="1546"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HDWYXY106</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与企业员工发生劳动合同纠纷，未妥善处理的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w:t>
            </w:r>
            <w:r>
              <w:rPr>
                <w:rFonts w:hint="eastAsia" w:ascii="宋体" w:hAnsi="宋体"/>
                <w:color w:val="000000"/>
                <w:kern w:val="0"/>
                <w:szCs w:val="21"/>
              </w:rPr>
              <w:t>2</w:t>
            </w:r>
            <w:r>
              <w:rPr>
                <w:color w:val="000000"/>
                <w:kern w:val="0"/>
                <w:szCs w:val="21"/>
              </w:rPr>
              <w:t>/</w:t>
            </w:r>
            <w:r>
              <w:rPr>
                <w:rFonts w:hint="eastAsia" w:ascii="宋体" w:hAnsi="宋体"/>
                <w:color w:val="000000"/>
                <w:kern w:val="0"/>
                <w:szCs w:val="21"/>
              </w:rPr>
              <w:t>件</w:t>
            </w:r>
          </w:p>
        </w:tc>
        <w:tc>
          <w:tcPr>
            <w:tcW w:w="1546"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HDWYXY107</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未按规定建立、保存在物业服务活动中形成的物业管理档案资料的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46"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HDWYXY108</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干涉、阻扰、操纵业主筹备成立业主大会、业主委员会或者业主大会会议召开的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-2</w:t>
            </w:r>
          </w:p>
        </w:tc>
        <w:tc>
          <w:tcPr>
            <w:tcW w:w="1546" w:type="dxa"/>
            <w:vMerge w:val="continue"/>
            <w:vAlign w:val="center"/>
          </w:tcPr>
          <w:p>
            <w:pPr>
              <w:widowControl/>
              <w:jc w:val="left"/>
              <w:rPr>
                <w:rFonts w:ascii="宋体" w:hAnsi="宋体" w:cs="宋体"/>
                <w:kern w:val="0"/>
                <w:szCs w:val="21"/>
              </w:rPr>
            </w:pPr>
          </w:p>
        </w:tc>
      </w:tr>
    </w:tbl>
    <w:p>
      <w:r>
        <w:br w:type="page"/>
      </w:r>
      <w:bookmarkStart w:id="1" w:name="_GoBack"/>
      <w:bookmarkEnd w:id="1"/>
    </w:p>
    <w:tbl>
      <w:tblPr>
        <w:tblStyle w:val="6"/>
        <w:tblW w:w="144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624"/>
        <w:gridCol w:w="1861"/>
        <w:gridCol w:w="5625"/>
        <w:gridCol w:w="239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restart"/>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HDWYXY109</w:t>
            </w:r>
          </w:p>
        </w:tc>
        <w:tc>
          <w:tcPr>
            <w:tcW w:w="1861" w:type="dxa"/>
            <w:vMerge w:val="restart"/>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物业管理行政主管部门检查时，项目经理连续两次不在岗的</w:t>
            </w:r>
          </w:p>
        </w:tc>
        <w:tc>
          <w:tcPr>
            <w:tcW w:w="2399"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546" w:type="dxa"/>
            <w:vMerge w:val="restart"/>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hint="eastAsia"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HDWYXY110</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未及时录入、上报物业统计报表或其他相关报表等资料的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-1/</w:t>
            </w:r>
            <w:r>
              <w:rPr>
                <w:rFonts w:hint="eastAsia" w:ascii="宋体" w:hAnsi="宋体"/>
                <w:color w:val="000000"/>
                <w:kern w:val="0"/>
                <w:szCs w:val="21"/>
              </w:rPr>
              <w:t>天</w:t>
            </w:r>
          </w:p>
        </w:tc>
        <w:tc>
          <w:tcPr>
            <w:tcW w:w="1546"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HDWYXY111</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不按规定参加政府相关职能部门组织的活动</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-2/</w:t>
            </w:r>
            <w:r>
              <w:rPr>
                <w:rFonts w:hint="eastAsia" w:ascii="宋体" w:hAnsi="宋体"/>
                <w:color w:val="000000"/>
                <w:kern w:val="0"/>
                <w:szCs w:val="21"/>
              </w:rPr>
              <w:t>次</w:t>
            </w:r>
          </w:p>
        </w:tc>
        <w:tc>
          <w:tcPr>
            <w:tcW w:w="1546"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HDWYXY112</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不配合政府相关职能部门组织调查或者开展其他工作的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w:t>
            </w:r>
            <w:r>
              <w:rPr>
                <w:rFonts w:hint="eastAsia" w:ascii="宋体" w:hAnsi="宋体"/>
                <w:color w:val="000000"/>
                <w:kern w:val="0"/>
                <w:szCs w:val="21"/>
              </w:rPr>
              <w:t>2</w:t>
            </w:r>
            <w:r>
              <w:rPr>
                <w:color w:val="000000"/>
                <w:kern w:val="0"/>
                <w:szCs w:val="21"/>
              </w:rPr>
              <w:t>/</w:t>
            </w:r>
            <w:r>
              <w:rPr>
                <w:rFonts w:hint="eastAsia" w:ascii="宋体" w:hAnsi="宋体"/>
                <w:color w:val="000000"/>
                <w:kern w:val="0"/>
                <w:szCs w:val="21"/>
              </w:rPr>
              <w:t>次</w:t>
            </w:r>
          </w:p>
        </w:tc>
        <w:tc>
          <w:tcPr>
            <w:tcW w:w="1546" w:type="dxa"/>
            <w:vMerge w:val="continue"/>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1425" w:type="dxa"/>
            <w:vMerge w:val="continue"/>
            <w:shd w:val="clear" w:color="auto" w:fill="auto"/>
            <w:vAlign w:val="center"/>
          </w:tcPr>
          <w:p>
            <w:pPr>
              <w:widowControl/>
              <w:jc w:val="left"/>
              <w:rPr>
                <w:rFonts w:ascii="黑体" w:hAnsi="黑体" w:eastAsia="黑体" w:cs="宋体"/>
                <w:color w:val="000000"/>
                <w:kern w:val="0"/>
                <w:sz w:val="22"/>
                <w:szCs w:val="22"/>
              </w:rPr>
            </w:pPr>
          </w:p>
        </w:tc>
        <w:tc>
          <w:tcPr>
            <w:tcW w:w="1624" w:type="dxa"/>
            <w:shd w:val="clear" w:color="auto" w:fill="auto"/>
            <w:vAlign w:val="center"/>
          </w:tcPr>
          <w:p>
            <w:pPr>
              <w:widowControl/>
              <w:jc w:val="center"/>
              <w:rPr>
                <w:rFonts w:ascii="华文中宋" w:hAnsi="华文中宋" w:eastAsia="华文中宋" w:cs="宋体"/>
                <w:color w:val="000000"/>
                <w:kern w:val="0"/>
                <w:sz w:val="20"/>
                <w:szCs w:val="20"/>
              </w:rPr>
            </w:pPr>
            <w:r>
              <w:rPr>
                <w:rFonts w:hint="eastAsia" w:ascii="华文中宋" w:hAnsi="华文中宋" w:eastAsia="华文中宋" w:cs="宋体"/>
                <w:color w:val="000000"/>
                <w:kern w:val="0"/>
                <w:sz w:val="20"/>
                <w:szCs w:val="20"/>
              </w:rPr>
              <w:t>HDWYXY113</w:t>
            </w:r>
          </w:p>
        </w:tc>
        <w:tc>
          <w:tcPr>
            <w:tcW w:w="1861" w:type="dxa"/>
            <w:vMerge w:val="continue"/>
            <w:shd w:val="clear" w:color="auto" w:fill="auto"/>
            <w:vAlign w:val="center"/>
          </w:tcPr>
          <w:p>
            <w:pPr>
              <w:widowControl/>
              <w:jc w:val="left"/>
              <w:rPr>
                <w:rFonts w:ascii="宋体" w:hAnsi="宋体" w:cs="宋体"/>
                <w:kern w:val="0"/>
                <w:szCs w:val="21"/>
              </w:rPr>
            </w:pPr>
          </w:p>
        </w:tc>
        <w:tc>
          <w:tcPr>
            <w:tcW w:w="5625" w:type="dxa"/>
            <w:shd w:val="clear" w:color="auto" w:fill="auto"/>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虚报、瞒报、错报、漏报信息的</w:t>
            </w:r>
          </w:p>
        </w:tc>
        <w:tc>
          <w:tcPr>
            <w:tcW w:w="2399" w:type="dxa"/>
            <w:shd w:val="clear" w:color="auto" w:fill="auto"/>
            <w:vAlign w:val="center"/>
          </w:tcPr>
          <w:p>
            <w:pPr>
              <w:widowControl/>
              <w:jc w:val="center"/>
              <w:rPr>
                <w:rFonts w:hint="eastAsia"/>
                <w:color w:val="000000"/>
                <w:kern w:val="0"/>
                <w:szCs w:val="21"/>
              </w:rPr>
            </w:pPr>
            <w:r>
              <w:rPr>
                <w:color w:val="000000"/>
                <w:kern w:val="0"/>
                <w:szCs w:val="21"/>
              </w:rPr>
              <w:t>-2/</w:t>
            </w:r>
            <w:r>
              <w:rPr>
                <w:rFonts w:hint="eastAsia" w:ascii="宋体" w:hAnsi="宋体"/>
                <w:color w:val="000000"/>
                <w:kern w:val="0"/>
                <w:szCs w:val="21"/>
              </w:rPr>
              <w:t>次</w:t>
            </w:r>
          </w:p>
        </w:tc>
        <w:tc>
          <w:tcPr>
            <w:tcW w:w="1546" w:type="dxa"/>
            <w:vMerge w:val="continue"/>
            <w:vAlign w:val="center"/>
          </w:tcPr>
          <w:p>
            <w:pPr>
              <w:widowControl/>
              <w:jc w:val="left"/>
              <w:rPr>
                <w:rFonts w:ascii="宋体" w:hAnsi="宋体" w:cs="宋体"/>
                <w:kern w:val="0"/>
                <w:szCs w:val="21"/>
              </w:rPr>
            </w:pPr>
          </w:p>
        </w:tc>
      </w:tr>
    </w:tbl>
    <w:p>
      <w:pPr>
        <w:spacing w:line="560" w:lineRule="exact"/>
        <w:jc w:val="left"/>
        <w:rPr>
          <w:rFonts w:ascii="黑体" w:hAnsi="黑体" w:eastAsia="黑体" w:cs="仿宋_GB2312"/>
          <w:spacing w:val="-18"/>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782A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邯郸远毅酒店</cp:lastModifiedBy>
  <dcterms:modified xsi:type="dcterms:W3CDTF">2018-01-02T04:11:14Z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